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24C" w14:textId="1C473A6B" w:rsidR="00A86101" w:rsidRPr="00A86101" w:rsidRDefault="00A86101" w:rsidP="00B7158B">
      <w:pPr>
        <w:spacing w:line="480" w:lineRule="auto"/>
        <w:jc w:val="center"/>
        <w:rPr>
          <w:rFonts w:ascii="Arial" w:hAnsi="Arial" w:cs="Arial"/>
          <w:b/>
          <w:bCs/>
        </w:rPr>
      </w:pPr>
      <w:r w:rsidRPr="00A86101">
        <w:rPr>
          <w:rFonts w:ascii="Arial" w:hAnsi="Arial" w:cs="Arial"/>
          <w:b/>
          <w:bCs/>
        </w:rPr>
        <w:t>THE IMPACT OF ARTIFICIAL INTELLIGENCE (AI) ON HUMAN RIGHTS IN AFRICA BY GREATNESS EYONSA ESSIEN</w:t>
      </w:r>
    </w:p>
    <w:p w14:paraId="4C139142" w14:textId="302CA696" w:rsidR="00A86101" w:rsidRPr="00A86101" w:rsidRDefault="00A86101" w:rsidP="00B7158B">
      <w:pPr>
        <w:spacing w:line="480" w:lineRule="auto"/>
        <w:rPr>
          <w:rFonts w:ascii="Arial" w:hAnsi="Arial" w:cs="Arial"/>
          <w:b/>
          <w:bCs/>
        </w:rPr>
      </w:pPr>
      <w:r w:rsidRPr="00A86101">
        <w:rPr>
          <w:rFonts w:ascii="Arial" w:hAnsi="Arial" w:cs="Arial"/>
          <w:b/>
          <w:bCs/>
        </w:rPr>
        <w:t>INTRODUCTION</w:t>
      </w:r>
    </w:p>
    <w:p w14:paraId="7DCFCA5B" w14:textId="47F6CE66" w:rsidR="00A86101" w:rsidRPr="00A86101" w:rsidRDefault="00A86101" w:rsidP="00B7158B">
      <w:pPr>
        <w:spacing w:line="480" w:lineRule="auto"/>
        <w:jc w:val="both"/>
        <w:rPr>
          <w:rFonts w:ascii="Arial" w:hAnsi="Arial" w:cs="Arial"/>
        </w:rPr>
      </w:pPr>
      <w:r w:rsidRPr="00A86101">
        <w:rPr>
          <w:rFonts w:ascii="Arial" w:hAnsi="Arial" w:cs="Arial"/>
        </w:rPr>
        <w:t>Across Africa, artificial intelligence (AI) is rapidly evolving from an emerging technology into a powerful force shaping economies, governance, and daily life. From mobile-based health diagnostics and precision agriculture to digital finance and automated public services, AI is increasingly woven into the continent’s development trajectory. As these technologies spread, they bring immense promise for accelerating growth and expanding access to essential services. Yet they also raise profound questions about the protection of human rights within African societies.</w:t>
      </w:r>
      <w:r>
        <w:rPr>
          <w:rStyle w:val="FootnoteReference"/>
          <w:rFonts w:ascii="Arial" w:hAnsi="Arial" w:cs="Arial"/>
        </w:rPr>
        <w:footnoteReference w:id="1"/>
      </w:r>
    </w:p>
    <w:p w14:paraId="2793026A" w14:textId="4AF5242D" w:rsidR="00A86101" w:rsidRPr="00A86101" w:rsidRDefault="00A86101" w:rsidP="00B7158B">
      <w:pPr>
        <w:spacing w:line="480" w:lineRule="auto"/>
        <w:jc w:val="both"/>
        <w:rPr>
          <w:rFonts w:ascii="Arial" w:hAnsi="Arial" w:cs="Arial"/>
        </w:rPr>
      </w:pPr>
      <w:r w:rsidRPr="00A86101">
        <w:rPr>
          <w:rFonts w:ascii="Arial" w:hAnsi="Arial" w:cs="Arial"/>
        </w:rPr>
        <w:t>The African Charter on Human and Peoples’ Rights provides a comprehensive framework for safeguarding dignity, equality, and freedom across the continent.</w:t>
      </w:r>
      <w:r w:rsidR="004076A8">
        <w:rPr>
          <w:rStyle w:val="FootnoteReference"/>
          <w:rFonts w:ascii="Arial" w:hAnsi="Arial" w:cs="Arial"/>
        </w:rPr>
        <w:footnoteReference w:id="2"/>
      </w:r>
      <w:r w:rsidRPr="00A86101">
        <w:rPr>
          <w:rFonts w:ascii="Arial" w:hAnsi="Arial" w:cs="Arial"/>
        </w:rPr>
        <w:t xml:space="preserve"> Today, however, AI systems</w:t>
      </w:r>
      <w:r w:rsidR="004076A8">
        <w:rPr>
          <w:rFonts w:ascii="Arial" w:hAnsi="Arial" w:cs="Arial"/>
        </w:rPr>
        <w:t xml:space="preserve"> </w:t>
      </w:r>
      <w:r w:rsidRPr="00A86101">
        <w:rPr>
          <w:rFonts w:ascii="Arial" w:hAnsi="Arial" w:cs="Arial"/>
        </w:rPr>
        <w:t>whether deployed by governments, private actors, or international partners</w:t>
      </w:r>
      <w:r w:rsidR="004076A8">
        <w:rPr>
          <w:rFonts w:ascii="Arial" w:hAnsi="Arial" w:cs="Arial"/>
        </w:rPr>
        <w:t xml:space="preserve"> </w:t>
      </w:r>
      <w:r w:rsidRPr="00A86101">
        <w:rPr>
          <w:rFonts w:ascii="Arial" w:hAnsi="Arial" w:cs="Arial"/>
        </w:rPr>
        <w:t>intersect with nearly every category of rights recognized in the Charter: the right to privacy, equality and non-discrimination, freedom of expression, access to information, fair trial guarantees, socio-economic rights, and even collective rights such as development and self-determination.</w:t>
      </w:r>
      <w:r w:rsidR="004076A8">
        <w:rPr>
          <w:rStyle w:val="FootnoteReference"/>
          <w:rFonts w:ascii="Arial" w:hAnsi="Arial" w:cs="Arial"/>
        </w:rPr>
        <w:footnoteReference w:id="3"/>
      </w:r>
      <w:r w:rsidRPr="00A86101">
        <w:rPr>
          <w:rFonts w:ascii="Arial" w:hAnsi="Arial" w:cs="Arial"/>
        </w:rPr>
        <w:t xml:space="preserve"> While AI has the potential to enhance these rights by improving transparency, accountability, and service delivery, its risks</w:t>
      </w:r>
      <w:r w:rsidR="004076A8">
        <w:rPr>
          <w:rFonts w:ascii="Arial" w:hAnsi="Arial" w:cs="Arial"/>
        </w:rPr>
        <w:t xml:space="preserve"> </w:t>
      </w:r>
      <w:r w:rsidRPr="00A86101">
        <w:rPr>
          <w:rFonts w:ascii="Arial" w:hAnsi="Arial" w:cs="Arial"/>
        </w:rPr>
        <w:t>ranging from algorithmic discrimination and surveillance to exclusion and manipulation</w:t>
      </w:r>
      <w:r w:rsidR="004076A8">
        <w:rPr>
          <w:rFonts w:ascii="Arial" w:hAnsi="Arial" w:cs="Arial"/>
        </w:rPr>
        <w:t xml:space="preserve"> </w:t>
      </w:r>
      <w:r w:rsidRPr="00A86101">
        <w:rPr>
          <w:rFonts w:ascii="Arial" w:hAnsi="Arial" w:cs="Arial"/>
        </w:rPr>
        <w:t>are equally significant.</w:t>
      </w:r>
      <w:r w:rsidR="004076A8">
        <w:rPr>
          <w:rStyle w:val="FootnoteReference"/>
          <w:rFonts w:ascii="Arial" w:hAnsi="Arial" w:cs="Arial"/>
        </w:rPr>
        <w:footnoteReference w:id="4"/>
      </w:r>
    </w:p>
    <w:p w14:paraId="4DD07200" w14:textId="60DB2B6E" w:rsidR="00A86101" w:rsidRDefault="00A86101" w:rsidP="00B7158B">
      <w:pPr>
        <w:spacing w:line="480" w:lineRule="auto"/>
        <w:jc w:val="both"/>
        <w:rPr>
          <w:rFonts w:ascii="Arial" w:hAnsi="Arial" w:cs="Arial"/>
        </w:rPr>
      </w:pPr>
      <w:r w:rsidRPr="00A86101">
        <w:rPr>
          <w:rFonts w:ascii="Arial" w:hAnsi="Arial" w:cs="Arial"/>
        </w:rPr>
        <w:lastRenderedPageBreak/>
        <w:t>This article explores the landscape of AI in Africa and examines how its deployment both advances and threatens the rights enshrined in the African Charter</w:t>
      </w:r>
      <w:r w:rsidR="001259D7">
        <w:rPr>
          <w:rFonts w:ascii="Arial" w:hAnsi="Arial" w:cs="Arial"/>
        </w:rPr>
        <w:t xml:space="preserve"> and other regional human rights instrument</w:t>
      </w:r>
      <w:r w:rsidRPr="00A86101">
        <w:rPr>
          <w:rFonts w:ascii="Arial" w:hAnsi="Arial" w:cs="Arial"/>
        </w:rPr>
        <w:t>. It highlights the positive contributions of AI to human development while uncovering the structural, political, and socio-economic vulnerabilities that can amplify its harms. Finally, it assesses the capacity of African human rights mechanisms</w:t>
      </w:r>
      <w:r w:rsidR="004076A8">
        <w:rPr>
          <w:rFonts w:ascii="Arial" w:hAnsi="Arial" w:cs="Arial"/>
        </w:rPr>
        <w:t xml:space="preserve"> </w:t>
      </w:r>
      <w:r w:rsidRPr="00A86101">
        <w:rPr>
          <w:rFonts w:ascii="Arial" w:hAnsi="Arial" w:cs="Arial"/>
        </w:rPr>
        <w:t>regional courts, national institutions, regulatory bodies, and civil society</w:t>
      </w:r>
      <w:r w:rsidR="004076A8">
        <w:rPr>
          <w:rFonts w:ascii="Arial" w:hAnsi="Arial" w:cs="Arial"/>
        </w:rPr>
        <w:t xml:space="preserve"> </w:t>
      </w:r>
      <w:r w:rsidRPr="00A86101">
        <w:rPr>
          <w:rFonts w:ascii="Arial" w:hAnsi="Arial" w:cs="Arial"/>
        </w:rPr>
        <w:t>to mitigate these harms and uphold rights in an increasingly digital age. As AI continues to reshape Africa’s future, a rights-</w:t>
      </w:r>
      <w:proofErr w:type="spellStart"/>
      <w:r w:rsidRPr="00A86101">
        <w:rPr>
          <w:rFonts w:ascii="Arial" w:hAnsi="Arial" w:cs="Arial"/>
        </w:rPr>
        <w:t>centered</w:t>
      </w:r>
      <w:proofErr w:type="spellEnd"/>
      <w:r w:rsidRPr="00A86101">
        <w:rPr>
          <w:rFonts w:ascii="Arial" w:hAnsi="Arial" w:cs="Arial"/>
        </w:rPr>
        <w:t xml:space="preserve"> approach will be essential to ensuring that innovation serves all Africans, equitably and responsibly.</w:t>
      </w:r>
    </w:p>
    <w:p w14:paraId="578AB636" w14:textId="7151089A" w:rsidR="000E1D7D" w:rsidRPr="00B977B5" w:rsidRDefault="000E1D7D" w:rsidP="00B7158B">
      <w:pPr>
        <w:spacing w:line="480" w:lineRule="auto"/>
        <w:jc w:val="center"/>
        <w:rPr>
          <w:rFonts w:ascii="Arial" w:hAnsi="Arial" w:cs="Arial"/>
          <w:b/>
          <w:bCs/>
        </w:rPr>
      </w:pPr>
      <w:r w:rsidRPr="00B977B5">
        <w:rPr>
          <w:rFonts w:ascii="Arial" w:hAnsi="Arial" w:cs="Arial"/>
          <w:b/>
          <w:bCs/>
        </w:rPr>
        <w:t>OVERVIEW OF AI DEVELOPMENT IN AFRICA</w:t>
      </w:r>
    </w:p>
    <w:p w14:paraId="11716063" w14:textId="34010341" w:rsidR="000E1D7D" w:rsidRDefault="000E1D7D" w:rsidP="00B7158B">
      <w:pPr>
        <w:spacing w:line="480" w:lineRule="auto"/>
        <w:jc w:val="both"/>
        <w:rPr>
          <w:rFonts w:ascii="Arial" w:hAnsi="Arial" w:cs="Arial"/>
        </w:rPr>
      </w:pPr>
      <w:r w:rsidRPr="000E1D7D">
        <w:rPr>
          <w:rFonts w:ascii="Arial" w:hAnsi="Arial" w:cs="Arial"/>
        </w:rPr>
        <w:t>AI began to gain attention in Africa in the early 2000s as the global technology landscape evolved. Early adoption was primarily in academic institutions and research centres, focusing on understanding the potential of AI. In the early 2010s, universities and research institutions across Africa started introducing AI and machine learning courses. Notable institutions like the University of Cape Town and Stellenbosch University in South Africa began focusing on AI research. In 2011, for example, the South Africa’s Centre for Artificial Intelligence Research (CAIR), was established, ‘linking nine research groups from six universities – the University of Cape Town, the University of KwaZulu-Natal, North-West University, the University of Pretoria, Stellenbosch University and the University of the Western Cape.’</w:t>
      </w:r>
      <w:r>
        <w:rPr>
          <w:rStyle w:val="FootnoteReference"/>
          <w:rFonts w:ascii="Arial" w:hAnsi="Arial" w:cs="Arial"/>
        </w:rPr>
        <w:footnoteReference w:id="5"/>
      </w:r>
      <w:r w:rsidRPr="000E1D7D">
        <w:rPr>
          <w:rFonts w:ascii="Arial" w:hAnsi="Arial" w:cs="Arial"/>
        </w:rPr>
        <w:t>This period also marked the rise of tech hubs and innovation centres, such as Nairobi’s iHub, which played a significant role in fostering AI development.</w:t>
      </w:r>
      <w:r>
        <w:rPr>
          <w:rStyle w:val="FootnoteReference"/>
          <w:rFonts w:ascii="Arial" w:hAnsi="Arial" w:cs="Arial"/>
        </w:rPr>
        <w:footnoteReference w:id="6"/>
      </w:r>
      <w:r w:rsidR="003813C6" w:rsidRPr="003813C6">
        <w:t xml:space="preserve"> </w:t>
      </w:r>
      <w:r w:rsidR="003813C6" w:rsidRPr="003813C6">
        <w:rPr>
          <w:rFonts w:ascii="Arial" w:hAnsi="Arial" w:cs="Arial"/>
        </w:rPr>
        <w:t xml:space="preserve">These hubs provided platforms </w:t>
      </w:r>
      <w:r w:rsidR="003813C6" w:rsidRPr="003813C6">
        <w:rPr>
          <w:rFonts w:ascii="Arial" w:hAnsi="Arial" w:cs="Arial"/>
        </w:rPr>
        <w:lastRenderedPageBreak/>
        <w:t>for collaboration, innovation, and entrepreneurship. Some African governments also started recognising the importance of AI.</w:t>
      </w:r>
    </w:p>
    <w:p w14:paraId="77FA508A" w14:textId="5173AD5E" w:rsidR="003813C6" w:rsidRDefault="003813C6" w:rsidP="00B7158B">
      <w:pPr>
        <w:spacing w:line="480" w:lineRule="auto"/>
        <w:jc w:val="both"/>
        <w:rPr>
          <w:rFonts w:ascii="Arial" w:hAnsi="Arial" w:cs="Arial"/>
        </w:rPr>
      </w:pPr>
      <w:r w:rsidRPr="003813C6">
        <w:rPr>
          <w:rFonts w:ascii="Arial" w:hAnsi="Arial" w:cs="Arial"/>
        </w:rPr>
        <w:t xml:space="preserve">During the late 2010s and early 2020s, the number of AI startups in Africa began to grow, focusing on various areas such as agriculture, healthcare, finance, and education. Companies like </w:t>
      </w:r>
      <w:proofErr w:type="spellStart"/>
      <w:r w:rsidRPr="003813C6">
        <w:rPr>
          <w:rFonts w:ascii="Arial" w:hAnsi="Arial" w:cs="Arial"/>
        </w:rPr>
        <w:t>DataProphet</w:t>
      </w:r>
      <w:proofErr w:type="spellEnd"/>
      <w:r w:rsidRPr="003813C6">
        <w:rPr>
          <w:rFonts w:ascii="Arial" w:hAnsi="Arial" w:cs="Arial"/>
        </w:rPr>
        <w:t xml:space="preserve"> in South Africa and Zindi, a pan-African data science competition platform, emerged.</w:t>
      </w:r>
      <w:r>
        <w:rPr>
          <w:rStyle w:val="FootnoteReference"/>
          <w:rFonts w:ascii="Arial" w:hAnsi="Arial" w:cs="Arial"/>
        </w:rPr>
        <w:footnoteReference w:id="7"/>
      </w:r>
      <w:r>
        <w:rPr>
          <w:rFonts w:ascii="Arial" w:hAnsi="Arial" w:cs="Arial"/>
        </w:rPr>
        <w:t xml:space="preserve"> </w:t>
      </w:r>
      <w:r w:rsidRPr="003813C6">
        <w:rPr>
          <w:rFonts w:ascii="Arial" w:hAnsi="Arial" w:cs="Arial"/>
        </w:rPr>
        <w:t>More recently, there has been a growing emphasis on developing AI policies and regulatory frameworks to ensure ethical and responsible use of AI. As will be seen further below, countries like Kenya, South Africa, Egypt and Nigeria have either developed or are working on national AI strategies.</w:t>
      </w:r>
    </w:p>
    <w:p w14:paraId="609FA7FA" w14:textId="3CF2989E" w:rsidR="003813C6" w:rsidRDefault="003813C6" w:rsidP="00B7158B">
      <w:pPr>
        <w:spacing w:line="480" w:lineRule="auto"/>
        <w:jc w:val="both"/>
        <w:rPr>
          <w:rFonts w:ascii="Arial" w:hAnsi="Arial" w:cs="Arial"/>
        </w:rPr>
      </w:pPr>
      <w:r>
        <w:rPr>
          <w:rFonts w:ascii="Arial" w:hAnsi="Arial" w:cs="Arial"/>
        </w:rPr>
        <w:t xml:space="preserve"> </w:t>
      </w:r>
      <w:r w:rsidRPr="003813C6">
        <w:rPr>
          <w:rFonts w:ascii="Arial" w:hAnsi="Arial" w:cs="Arial"/>
        </w:rPr>
        <w:t>Despite these developments, ‘The state of artificial intelligence (AI) in Africa has revealed the uneven pace of its development and shown the need for African innovators, policy-makers, social movements, and academic institutions to ramp up their engagement in the field of AI.’</w:t>
      </w:r>
      <w:r>
        <w:rPr>
          <w:rStyle w:val="FootnoteReference"/>
          <w:rFonts w:ascii="Arial" w:hAnsi="Arial" w:cs="Arial"/>
        </w:rPr>
        <w:footnoteReference w:id="8"/>
      </w:r>
      <w:r>
        <w:rPr>
          <w:rFonts w:ascii="Arial" w:hAnsi="Arial" w:cs="Arial"/>
        </w:rPr>
        <w:t xml:space="preserve"> </w:t>
      </w:r>
      <w:r w:rsidRPr="003813C6">
        <w:rPr>
          <w:rFonts w:ascii="Arial" w:hAnsi="Arial" w:cs="Arial"/>
        </w:rPr>
        <w:t>Compared to other continents such as Europe and the Americas, artificial intelligence in Africa is still in its early stages and is not yet widely used in business. Despite the continent’s poor ranking on international indices and indicators for AI activities and official regulations, however, an increasing number of AI communities and activities are springing up throughout Africa. Despite being in its nascent stages and not yet widely adopted in business contexts, artificial intelligence (AI) is witnessing a burgeoning</w:t>
      </w:r>
      <w:r>
        <w:rPr>
          <w:rFonts w:ascii="Arial" w:hAnsi="Arial" w:cs="Arial"/>
        </w:rPr>
        <w:t xml:space="preserve"> </w:t>
      </w:r>
      <w:r w:rsidRPr="003813C6">
        <w:rPr>
          <w:rFonts w:ascii="Arial" w:hAnsi="Arial" w:cs="Arial"/>
        </w:rPr>
        <w:t>of communities and activities across Africa.</w:t>
      </w:r>
      <w:r>
        <w:rPr>
          <w:rStyle w:val="FootnoteReference"/>
          <w:rFonts w:ascii="Arial" w:hAnsi="Arial" w:cs="Arial"/>
        </w:rPr>
        <w:footnoteReference w:id="9"/>
      </w:r>
      <w:r w:rsidR="00B977B5" w:rsidRPr="00B977B5">
        <w:t xml:space="preserve"> </w:t>
      </w:r>
      <w:r w:rsidR="00B977B5" w:rsidRPr="00B977B5">
        <w:rPr>
          <w:rFonts w:ascii="Arial" w:hAnsi="Arial" w:cs="Arial"/>
        </w:rPr>
        <w:t xml:space="preserve">This growth is occurring even as the continent remains lower on international indices and indicators for AI activities and regulatory frameworks. New interdisciplinary </w:t>
      </w:r>
      <w:r w:rsidR="00B977B5" w:rsidRPr="00B977B5">
        <w:rPr>
          <w:rFonts w:ascii="Arial" w:hAnsi="Arial" w:cs="Arial"/>
        </w:rPr>
        <w:lastRenderedPageBreak/>
        <w:t>machine learning communities are emerging around academic institutions, often in collaboration with industry and development partners. These communities provide opportunities for skill demonstration, expanded project participation, and access to the latest advancements in the field.</w:t>
      </w:r>
      <w:r w:rsidR="00B977B5">
        <w:rPr>
          <w:rStyle w:val="FootnoteReference"/>
          <w:rFonts w:ascii="Arial" w:hAnsi="Arial" w:cs="Arial"/>
        </w:rPr>
        <w:footnoteReference w:id="10"/>
      </w:r>
    </w:p>
    <w:p w14:paraId="727405D3" w14:textId="31219849" w:rsidR="00B977B5" w:rsidRDefault="00B977B5" w:rsidP="00B7158B">
      <w:pPr>
        <w:spacing w:line="480" w:lineRule="auto"/>
        <w:rPr>
          <w:rFonts w:ascii="Arial" w:hAnsi="Arial" w:cs="Arial"/>
        </w:rPr>
      </w:pPr>
      <w:r w:rsidRPr="00B977B5">
        <w:rPr>
          <w:rFonts w:ascii="Arial" w:hAnsi="Arial" w:cs="Arial"/>
        </w:rPr>
        <w:t>According to a 2023 State of AI in Africa Report prepared by the Centre for Intellectual Property and Information Technology Law (CIPIT), ‘ … with a few exceptions, such as South Africa, Nigeria, Ethiopia, Kenya, Zimbabwe, Togo, Libya and Ghana, AI applications have not yet been widely adopted throughout Africa, with most African nations lacking the necessary elements required for technology adoption in the form of infrastructure, data ecosystems, STEM education and governance systems.’</w:t>
      </w:r>
      <w:r>
        <w:rPr>
          <w:rStyle w:val="FootnoteReference"/>
          <w:rFonts w:ascii="Arial" w:hAnsi="Arial" w:cs="Arial"/>
        </w:rPr>
        <w:footnoteReference w:id="11"/>
      </w:r>
      <w:r>
        <w:rPr>
          <w:rFonts w:ascii="Arial" w:hAnsi="Arial" w:cs="Arial"/>
        </w:rPr>
        <w:t xml:space="preserve"> </w:t>
      </w:r>
      <w:r w:rsidRPr="00B977B5">
        <w:rPr>
          <w:rFonts w:ascii="Arial" w:hAnsi="Arial" w:cs="Arial"/>
        </w:rPr>
        <w:t xml:space="preserve">That said however, ‘AI tech is growing across Africa, with over 2,400 companies specializing in AI, 41% of which are startups.’ According to </w:t>
      </w:r>
      <w:proofErr w:type="spellStart"/>
      <w:r w:rsidRPr="00B977B5">
        <w:rPr>
          <w:rFonts w:ascii="Arial" w:hAnsi="Arial" w:cs="Arial"/>
        </w:rPr>
        <w:t>Abdessalam</w:t>
      </w:r>
      <w:proofErr w:type="spellEnd"/>
      <w:r w:rsidRPr="00B977B5">
        <w:rPr>
          <w:rFonts w:ascii="Arial" w:hAnsi="Arial" w:cs="Arial"/>
        </w:rPr>
        <w:t xml:space="preserve"> Jaldi, ‘Over the next few years, Africa is set to see an acceleration in the deployment of artificial intelligence in a number of sectors.’</w:t>
      </w:r>
      <w:r>
        <w:rPr>
          <w:rStyle w:val="FootnoteReference"/>
          <w:rFonts w:ascii="Arial" w:hAnsi="Arial" w:cs="Arial"/>
        </w:rPr>
        <w:footnoteReference w:id="12"/>
      </w:r>
      <w:r w:rsidRPr="00B977B5">
        <w:rPr>
          <w:rFonts w:ascii="Arial" w:hAnsi="Arial" w:cs="Arial"/>
        </w:rPr>
        <w:t>This projection is supported by the increasing number of companies that specialise in AI. In 2023, South Africa had the highest number of such companies (726), followed by Nigeria (456), Egypt (246) and Kenya (204).</w:t>
      </w:r>
      <w:r>
        <w:rPr>
          <w:rStyle w:val="FootnoteReference"/>
          <w:rFonts w:ascii="Arial" w:hAnsi="Arial" w:cs="Arial"/>
        </w:rPr>
        <w:footnoteReference w:id="13"/>
      </w:r>
      <w:r w:rsidRPr="00B977B5">
        <w:t xml:space="preserve"> </w:t>
      </w:r>
      <w:r w:rsidRPr="00B977B5">
        <w:rPr>
          <w:rFonts w:ascii="Arial" w:hAnsi="Arial" w:cs="Arial"/>
        </w:rPr>
        <w:t>Other countries with more than 100 such companies included Morrocco (126), Ghana (115) and Tunisia (103).</w:t>
      </w:r>
      <w:r>
        <w:rPr>
          <w:rStyle w:val="FootnoteReference"/>
          <w:rFonts w:ascii="Arial" w:hAnsi="Arial" w:cs="Arial"/>
        </w:rPr>
        <w:footnoteReference w:id="14"/>
      </w:r>
    </w:p>
    <w:p w14:paraId="3A45844B" w14:textId="77777777" w:rsidR="00731711" w:rsidRDefault="00731711" w:rsidP="00B7158B">
      <w:pPr>
        <w:spacing w:line="480" w:lineRule="auto"/>
        <w:jc w:val="center"/>
        <w:rPr>
          <w:rFonts w:ascii="Arial" w:hAnsi="Arial" w:cs="Arial"/>
          <w:b/>
          <w:bCs/>
        </w:rPr>
      </w:pPr>
    </w:p>
    <w:p w14:paraId="6FF9C179" w14:textId="2B96263C" w:rsidR="002D677F" w:rsidRPr="007334EE" w:rsidRDefault="009434DF" w:rsidP="00B7158B">
      <w:pPr>
        <w:spacing w:line="480" w:lineRule="auto"/>
        <w:jc w:val="center"/>
        <w:rPr>
          <w:rFonts w:ascii="Arial" w:hAnsi="Arial" w:cs="Arial"/>
          <w:b/>
          <w:bCs/>
        </w:rPr>
      </w:pPr>
      <w:r w:rsidRPr="007334EE">
        <w:rPr>
          <w:rFonts w:ascii="Arial" w:hAnsi="Arial" w:cs="Arial"/>
          <w:b/>
          <w:bCs/>
        </w:rPr>
        <w:lastRenderedPageBreak/>
        <w:t xml:space="preserve">AI AND ITS IMPACT ON THE RIGHTS TO PERSON’S UNDER THE </w:t>
      </w:r>
      <w:r w:rsidR="0089444C" w:rsidRPr="007334EE">
        <w:rPr>
          <w:rFonts w:ascii="Arial" w:hAnsi="Arial" w:cs="Arial"/>
          <w:b/>
          <w:bCs/>
        </w:rPr>
        <w:t>AFRICAN CHARTER</w:t>
      </w:r>
    </w:p>
    <w:p w14:paraId="0BF40579" w14:textId="77777777" w:rsidR="00E22F79" w:rsidRDefault="00D74B2A" w:rsidP="00B7158B">
      <w:pPr>
        <w:spacing w:line="480" w:lineRule="auto"/>
        <w:jc w:val="both"/>
        <w:rPr>
          <w:rFonts w:ascii="Arial" w:hAnsi="Arial" w:cs="Arial"/>
        </w:rPr>
      </w:pPr>
      <w:r>
        <w:rPr>
          <w:rFonts w:ascii="Arial" w:hAnsi="Arial" w:cs="Arial"/>
        </w:rPr>
        <w:t xml:space="preserve">Ai has plethora of impacts on the </w:t>
      </w:r>
      <w:r w:rsidR="0066492C">
        <w:rPr>
          <w:rFonts w:ascii="Arial" w:hAnsi="Arial" w:cs="Arial"/>
        </w:rPr>
        <w:t>civil</w:t>
      </w:r>
      <w:r w:rsidR="000B39B7">
        <w:rPr>
          <w:rFonts w:ascii="Arial" w:hAnsi="Arial" w:cs="Arial"/>
        </w:rPr>
        <w:t xml:space="preserve">, </w:t>
      </w:r>
      <w:r w:rsidR="0066492C">
        <w:rPr>
          <w:rFonts w:ascii="Arial" w:hAnsi="Arial" w:cs="Arial"/>
        </w:rPr>
        <w:t>political</w:t>
      </w:r>
      <w:r w:rsidR="000B39B7">
        <w:rPr>
          <w:rFonts w:ascii="Arial" w:hAnsi="Arial" w:cs="Arial"/>
        </w:rPr>
        <w:t xml:space="preserve">, </w:t>
      </w:r>
      <w:r w:rsidR="00961748">
        <w:rPr>
          <w:rFonts w:ascii="Arial" w:hAnsi="Arial" w:cs="Arial"/>
        </w:rPr>
        <w:t>socio-economic, cultural,</w:t>
      </w:r>
      <w:r w:rsidR="00294C23">
        <w:rPr>
          <w:rFonts w:ascii="Arial" w:hAnsi="Arial" w:cs="Arial"/>
        </w:rPr>
        <w:t xml:space="preserve"> and </w:t>
      </w:r>
      <w:r w:rsidR="00EF43EF">
        <w:rPr>
          <w:rFonts w:ascii="Arial" w:hAnsi="Arial" w:cs="Arial"/>
        </w:rPr>
        <w:t>g</w:t>
      </w:r>
      <w:r w:rsidR="00D87838">
        <w:rPr>
          <w:rFonts w:ascii="Arial" w:hAnsi="Arial" w:cs="Arial"/>
        </w:rPr>
        <w:t xml:space="preserve">roup rights of women, children, PWDs, </w:t>
      </w:r>
      <w:r w:rsidR="00061E3F">
        <w:rPr>
          <w:rFonts w:ascii="Arial" w:hAnsi="Arial" w:cs="Arial"/>
        </w:rPr>
        <w:t xml:space="preserve">elderly persons in Africa. It is important to mention that these rights are guaranteed under the </w:t>
      </w:r>
      <w:r w:rsidR="00E22F79">
        <w:rPr>
          <w:rFonts w:ascii="Arial" w:hAnsi="Arial" w:cs="Arial"/>
        </w:rPr>
        <w:t xml:space="preserve">African Charter and it is binding on States parties to the Charter. </w:t>
      </w:r>
    </w:p>
    <w:p w14:paraId="52EC7457" w14:textId="05D42482" w:rsidR="00BB7B97" w:rsidRDefault="00E22F79" w:rsidP="00B7158B">
      <w:pPr>
        <w:spacing w:line="480" w:lineRule="auto"/>
        <w:jc w:val="both"/>
        <w:rPr>
          <w:rFonts w:ascii="Arial" w:hAnsi="Arial" w:cs="Arial"/>
        </w:rPr>
      </w:pPr>
      <w:r>
        <w:rPr>
          <w:rFonts w:ascii="Arial" w:hAnsi="Arial" w:cs="Arial"/>
        </w:rPr>
        <w:t xml:space="preserve">In the succeeding paragraphs of this work, we shall </w:t>
      </w:r>
      <w:r w:rsidR="001F4AF1">
        <w:rPr>
          <w:rFonts w:ascii="Arial" w:hAnsi="Arial" w:cs="Arial"/>
        </w:rPr>
        <w:t>exhaustively discuss the impact of AI on some of these rights that are contemplated under the African Charter, before we delve into tal</w:t>
      </w:r>
      <w:r w:rsidR="009304EB">
        <w:rPr>
          <w:rFonts w:ascii="Arial" w:hAnsi="Arial" w:cs="Arial"/>
        </w:rPr>
        <w:t xml:space="preserve">king about how human rights mechanisms can </w:t>
      </w:r>
      <w:r w:rsidR="00B4360E">
        <w:rPr>
          <w:rFonts w:ascii="Arial" w:hAnsi="Arial" w:cs="Arial"/>
        </w:rPr>
        <w:t>mitigate</w:t>
      </w:r>
      <w:r w:rsidR="008D39EF">
        <w:rPr>
          <w:rFonts w:ascii="Arial" w:hAnsi="Arial" w:cs="Arial"/>
        </w:rPr>
        <w:t xml:space="preserve"> the harms caused by</w:t>
      </w:r>
      <w:r w:rsidR="00B4360E">
        <w:rPr>
          <w:rFonts w:ascii="Arial" w:hAnsi="Arial" w:cs="Arial"/>
        </w:rPr>
        <w:t xml:space="preserve"> the impact of AI on human rights in Africa</w:t>
      </w:r>
      <w:r w:rsidR="00BB7B97">
        <w:rPr>
          <w:rFonts w:ascii="Arial" w:hAnsi="Arial" w:cs="Arial"/>
        </w:rPr>
        <w:t xml:space="preserve">. </w:t>
      </w:r>
    </w:p>
    <w:p w14:paraId="0FA0671E" w14:textId="77777777" w:rsidR="008E6F17" w:rsidRPr="007334EE" w:rsidRDefault="004F29D9" w:rsidP="00B7158B">
      <w:pPr>
        <w:pStyle w:val="ListParagraph"/>
        <w:numPr>
          <w:ilvl w:val="0"/>
          <w:numId w:val="1"/>
        </w:numPr>
        <w:spacing w:line="480" w:lineRule="auto"/>
        <w:rPr>
          <w:rFonts w:ascii="Arial" w:hAnsi="Arial" w:cs="Arial"/>
          <w:b/>
          <w:bCs/>
        </w:rPr>
      </w:pPr>
      <w:r w:rsidRPr="007334EE">
        <w:rPr>
          <w:rFonts w:ascii="Arial" w:hAnsi="Arial" w:cs="Arial"/>
          <w:b/>
          <w:bCs/>
        </w:rPr>
        <w:t xml:space="preserve">AI AND </w:t>
      </w:r>
      <w:r w:rsidR="008E6F17" w:rsidRPr="007334EE">
        <w:rPr>
          <w:rFonts w:ascii="Arial" w:hAnsi="Arial" w:cs="Arial"/>
          <w:b/>
          <w:bCs/>
        </w:rPr>
        <w:t>INDIVIDUAL RIGHTS</w:t>
      </w:r>
    </w:p>
    <w:p w14:paraId="3027464B" w14:textId="77777777" w:rsidR="003A4C4B" w:rsidRPr="007334EE" w:rsidRDefault="00C5472B" w:rsidP="00B7158B">
      <w:pPr>
        <w:pStyle w:val="ListParagraph"/>
        <w:numPr>
          <w:ilvl w:val="0"/>
          <w:numId w:val="2"/>
        </w:numPr>
        <w:spacing w:line="480" w:lineRule="auto"/>
        <w:rPr>
          <w:rFonts w:ascii="Arial" w:hAnsi="Arial" w:cs="Arial"/>
          <w:b/>
          <w:bCs/>
          <w:u w:val="single"/>
        </w:rPr>
      </w:pPr>
      <w:r w:rsidRPr="007334EE">
        <w:rPr>
          <w:rFonts w:ascii="Arial" w:hAnsi="Arial" w:cs="Arial"/>
          <w:b/>
          <w:bCs/>
          <w:u w:val="single"/>
        </w:rPr>
        <w:t>AI and the Right to Dignity</w:t>
      </w:r>
    </w:p>
    <w:p w14:paraId="347F6408" w14:textId="15C4E732" w:rsidR="0089444C" w:rsidRDefault="003A4C4B" w:rsidP="00B7158B">
      <w:pPr>
        <w:spacing w:line="480" w:lineRule="auto"/>
        <w:jc w:val="both"/>
        <w:rPr>
          <w:rFonts w:ascii="Arial" w:hAnsi="Arial" w:cs="Arial"/>
        </w:rPr>
      </w:pPr>
      <w:r w:rsidRPr="003A4C4B">
        <w:rPr>
          <w:rFonts w:ascii="Arial" w:hAnsi="Arial" w:cs="Arial"/>
        </w:rPr>
        <w:t>The African Charter provides for the protection of the right to dignity and recognises the it as a fundamental objective for fulfilling the legitimate aspirations of African peoples.</w:t>
      </w:r>
      <w:r w:rsidR="00C675A7">
        <w:rPr>
          <w:rStyle w:val="FootnoteReference"/>
          <w:rFonts w:ascii="Arial" w:hAnsi="Arial" w:cs="Arial"/>
        </w:rPr>
        <w:footnoteReference w:id="15"/>
      </w:r>
      <w:r w:rsidR="00765EAD" w:rsidRPr="00765EAD">
        <w:t xml:space="preserve"> </w:t>
      </w:r>
      <w:r w:rsidR="00765EAD" w:rsidRPr="00765EAD">
        <w:rPr>
          <w:rFonts w:ascii="Arial" w:hAnsi="Arial" w:cs="Arial"/>
        </w:rPr>
        <w:t>The African Charter is the only regional human rights instrument that provides for the right to dignity as a stand-alone right.</w:t>
      </w:r>
      <w:r w:rsidR="00902D6A">
        <w:rPr>
          <w:rStyle w:val="FootnoteReference"/>
          <w:rFonts w:ascii="Arial" w:hAnsi="Arial" w:cs="Arial"/>
        </w:rPr>
        <w:footnoteReference w:id="16"/>
      </w:r>
      <w:r w:rsidR="0090251A" w:rsidRPr="0090251A">
        <w:t xml:space="preserve"> </w:t>
      </w:r>
      <w:r w:rsidR="0090251A" w:rsidRPr="0090251A">
        <w:rPr>
          <w:rFonts w:ascii="Arial" w:hAnsi="Arial" w:cs="Arial"/>
        </w:rPr>
        <w:t>The right to dignity is also provided for in national constitutions and international treaties that are binding on African states.</w:t>
      </w:r>
      <w:r w:rsidR="00EA3136">
        <w:rPr>
          <w:rStyle w:val="FootnoteReference"/>
          <w:rFonts w:ascii="Arial" w:hAnsi="Arial" w:cs="Arial"/>
        </w:rPr>
        <w:footnoteReference w:id="17"/>
      </w:r>
    </w:p>
    <w:p w14:paraId="106D7557" w14:textId="1FD6BB68" w:rsidR="00EA3136" w:rsidRDefault="00485540" w:rsidP="00B7158B">
      <w:pPr>
        <w:spacing w:line="480" w:lineRule="auto"/>
        <w:jc w:val="both"/>
        <w:rPr>
          <w:rFonts w:ascii="Arial" w:hAnsi="Arial" w:cs="Arial"/>
        </w:rPr>
      </w:pPr>
      <w:r w:rsidRPr="00485540">
        <w:rPr>
          <w:rFonts w:ascii="Arial" w:hAnsi="Arial" w:cs="Arial"/>
        </w:rPr>
        <w:t xml:space="preserve">Human dignity is particularly important to Africa because of its historical battles against exploitation and dehumanisation of its peoples. In recognition of the importance of the right to dignity, the African Commission stated: “Dignity is, therefore, the soul of the </w:t>
      </w:r>
      <w:r w:rsidRPr="00485540">
        <w:rPr>
          <w:rFonts w:ascii="Arial" w:hAnsi="Arial" w:cs="Arial"/>
        </w:rPr>
        <w:lastRenderedPageBreak/>
        <w:t>African human rights system and which it shares with both the other systems and all civilised human societies.</w:t>
      </w:r>
      <w:r w:rsidR="00035CAA">
        <w:rPr>
          <w:rStyle w:val="FootnoteReference"/>
          <w:rFonts w:ascii="Arial" w:hAnsi="Arial" w:cs="Arial"/>
        </w:rPr>
        <w:footnoteReference w:id="18"/>
      </w:r>
      <w:r w:rsidR="00E0539E" w:rsidRPr="00E0539E">
        <w:t xml:space="preserve"> </w:t>
      </w:r>
      <w:r w:rsidR="00E0539E" w:rsidRPr="00E0539E">
        <w:rPr>
          <w:rFonts w:ascii="Arial" w:hAnsi="Arial" w:cs="Arial"/>
        </w:rPr>
        <w:t>Dignity is consubstantial, intrinsic, and inherent to the human person. In other words, when the individual loses his dignity, it is his human nature itself which is called into question, to the extent that it is likely to interrogate the validity of continuing to belong to human society. When dignity is lost, everything is lost.</w:t>
      </w:r>
      <w:r w:rsidR="00E0539E">
        <w:rPr>
          <w:rStyle w:val="FootnoteReference"/>
          <w:rFonts w:ascii="Arial" w:hAnsi="Arial" w:cs="Arial"/>
        </w:rPr>
        <w:footnoteReference w:id="19"/>
      </w:r>
      <w:r w:rsidR="00AA6411" w:rsidRPr="00AA6411">
        <w:t xml:space="preserve"> </w:t>
      </w:r>
      <w:r w:rsidR="00AA6411" w:rsidRPr="00AA6411">
        <w:rPr>
          <w:rFonts w:ascii="Arial" w:hAnsi="Arial" w:cs="Arial"/>
        </w:rPr>
        <w:t>In short, when dignity is violated, it is not worth the while to guarantee most of the other rights.</w:t>
      </w:r>
      <w:r w:rsidR="00DF752A">
        <w:rPr>
          <w:rStyle w:val="FootnoteReference"/>
          <w:rFonts w:ascii="Arial" w:hAnsi="Arial" w:cs="Arial"/>
        </w:rPr>
        <w:footnoteReference w:id="20"/>
      </w:r>
    </w:p>
    <w:p w14:paraId="5DF9D10F" w14:textId="4B27B4AD" w:rsidR="00792E3C" w:rsidRDefault="00792E3C" w:rsidP="00B7158B">
      <w:pPr>
        <w:spacing w:line="480" w:lineRule="auto"/>
        <w:jc w:val="both"/>
        <w:rPr>
          <w:rFonts w:ascii="Arial" w:hAnsi="Arial" w:cs="Arial"/>
        </w:rPr>
      </w:pPr>
      <w:r w:rsidRPr="00792E3C">
        <w:rPr>
          <w:rFonts w:ascii="Arial" w:hAnsi="Arial" w:cs="Arial"/>
        </w:rPr>
        <w:t>AI technologies have several implications for the right to dignity. The right to human dignity is intrinsically linked to socio-economic rights, such as the rights to education, health, and work, as these rights form the foundation for individuals and communities to live with autonomy, respect, and fulfilment.</w:t>
      </w:r>
      <w:r w:rsidR="00CF711F">
        <w:rPr>
          <w:rStyle w:val="FootnoteReference"/>
          <w:rFonts w:ascii="Arial" w:hAnsi="Arial" w:cs="Arial"/>
        </w:rPr>
        <w:footnoteReference w:id="21"/>
      </w:r>
      <w:r w:rsidR="002B438F">
        <w:rPr>
          <w:rFonts w:ascii="Arial" w:hAnsi="Arial" w:cs="Arial"/>
        </w:rPr>
        <w:t xml:space="preserve"> AI </w:t>
      </w:r>
      <w:r w:rsidR="002B438F" w:rsidRPr="002B438F">
        <w:rPr>
          <w:rFonts w:ascii="Arial" w:hAnsi="Arial" w:cs="Arial"/>
        </w:rPr>
        <w:t>offer transformative opportunities to advance the right to dignity in Africa by accelerating the achievement of the Sustainable Development Goals (SDGs), thereby enabling African peoples to lead dignified lives.</w:t>
      </w:r>
      <w:r w:rsidR="00BE4098">
        <w:rPr>
          <w:rStyle w:val="FootnoteReference"/>
          <w:rFonts w:ascii="Arial" w:hAnsi="Arial" w:cs="Arial"/>
        </w:rPr>
        <w:footnoteReference w:id="22"/>
      </w:r>
      <w:r w:rsidR="002B438F" w:rsidRPr="002B438F">
        <w:rPr>
          <w:rFonts w:ascii="Arial" w:hAnsi="Arial" w:cs="Arial"/>
        </w:rPr>
        <w:t xml:space="preserve"> For example, AI-driven solutions can enhance agricultural productivity, optimising resource allocation, and creating innovative financial inclusion systems for marginalised communities.</w:t>
      </w:r>
      <w:r w:rsidR="00EC6F51">
        <w:rPr>
          <w:rStyle w:val="FootnoteReference"/>
          <w:rFonts w:ascii="Arial" w:hAnsi="Arial" w:cs="Arial"/>
        </w:rPr>
        <w:footnoteReference w:id="23"/>
      </w:r>
      <w:r w:rsidR="002B438F" w:rsidRPr="002B438F">
        <w:rPr>
          <w:rFonts w:ascii="Arial" w:hAnsi="Arial" w:cs="Arial"/>
        </w:rPr>
        <w:t xml:space="preserve"> Similarly, these technologies can improve </w:t>
      </w:r>
      <w:r w:rsidR="002B438F" w:rsidRPr="002B438F">
        <w:rPr>
          <w:rFonts w:ascii="Arial" w:hAnsi="Arial" w:cs="Arial"/>
        </w:rPr>
        <w:lastRenderedPageBreak/>
        <w:t>healthcare access, expand educational opportunities, and foster job creation, all of which are essential to ensuring a life of dignity.</w:t>
      </w:r>
      <w:r w:rsidR="00EC6F51">
        <w:rPr>
          <w:rStyle w:val="FootnoteReference"/>
          <w:rFonts w:ascii="Arial" w:hAnsi="Arial" w:cs="Arial"/>
        </w:rPr>
        <w:footnoteReference w:id="24"/>
      </w:r>
    </w:p>
    <w:p w14:paraId="57037822" w14:textId="43A34741" w:rsidR="000A60EA" w:rsidRDefault="000A60EA" w:rsidP="00B7158B">
      <w:pPr>
        <w:spacing w:line="480" w:lineRule="auto"/>
        <w:jc w:val="both"/>
        <w:rPr>
          <w:rFonts w:ascii="Arial" w:hAnsi="Arial" w:cs="Arial"/>
        </w:rPr>
      </w:pPr>
      <w:r>
        <w:rPr>
          <w:rFonts w:ascii="Arial" w:hAnsi="Arial" w:cs="Arial"/>
        </w:rPr>
        <w:t xml:space="preserve">AI also </w:t>
      </w:r>
      <w:r w:rsidRPr="000A60EA">
        <w:rPr>
          <w:rFonts w:ascii="Arial" w:hAnsi="Arial" w:cs="Arial"/>
        </w:rPr>
        <w:t>present significant risks to the right to dignity. From African perspective, this is on account of the bias and limitations in the development, design and training of AI models and the algorithms.</w:t>
      </w:r>
      <w:r w:rsidR="00055DC8">
        <w:rPr>
          <w:rStyle w:val="FootnoteReference"/>
          <w:rFonts w:ascii="Arial" w:hAnsi="Arial" w:cs="Arial"/>
        </w:rPr>
        <w:footnoteReference w:id="25"/>
      </w:r>
      <w:r w:rsidRPr="000A60EA">
        <w:rPr>
          <w:rFonts w:ascii="Arial" w:hAnsi="Arial" w:cs="Arial"/>
        </w:rPr>
        <w:t xml:space="preserve"> It was also noted during the African Commission's multi-stakeholder consultations for this study that threats to dignity are linked to the</w:t>
      </w:r>
      <w:r w:rsidR="003A63CA">
        <w:rPr>
          <w:rFonts w:ascii="Arial" w:hAnsi="Arial" w:cs="Arial"/>
        </w:rPr>
        <w:t xml:space="preserve"> </w:t>
      </w:r>
      <w:r w:rsidR="003A63CA" w:rsidRPr="003A63CA">
        <w:rPr>
          <w:rFonts w:ascii="Arial" w:hAnsi="Arial" w:cs="Arial"/>
        </w:rPr>
        <w:t>threats that AI poses across individual civil, political, and socio-economic rights, as well as peoples' and group rights</w:t>
      </w:r>
      <w:r w:rsidR="00314AFA">
        <w:rPr>
          <w:rFonts w:ascii="Arial" w:hAnsi="Arial" w:cs="Arial"/>
        </w:rPr>
        <w:t>.</w:t>
      </w:r>
      <w:r w:rsidR="00362BDC">
        <w:rPr>
          <w:rStyle w:val="FootnoteReference"/>
          <w:rFonts w:ascii="Arial" w:hAnsi="Arial" w:cs="Arial"/>
        </w:rPr>
        <w:footnoteReference w:id="26"/>
      </w:r>
    </w:p>
    <w:p w14:paraId="7275C93E" w14:textId="7040F978" w:rsidR="00362BDC" w:rsidRPr="007334EE" w:rsidRDefault="00812331" w:rsidP="00B7158B">
      <w:pPr>
        <w:pStyle w:val="ListParagraph"/>
        <w:numPr>
          <w:ilvl w:val="0"/>
          <w:numId w:val="2"/>
        </w:numPr>
        <w:spacing w:line="480" w:lineRule="auto"/>
        <w:rPr>
          <w:rFonts w:ascii="Arial" w:hAnsi="Arial" w:cs="Arial"/>
          <w:b/>
          <w:bCs/>
          <w:u w:val="single"/>
        </w:rPr>
      </w:pPr>
      <w:r w:rsidRPr="007334EE">
        <w:rPr>
          <w:rFonts w:ascii="Arial" w:hAnsi="Arial" w:cs="Arial"/>
          <w:b/>
          <w:bCs/>
          <w:u w:val="single"/>
        </w:rPr>
        <w:t xml:space="preserve">AI and the Right </w:t>
      </w:r>
      <w:r w:rsidR="00F731DF" w:rsidRPr="007334EE">
        <w:rPr>
          <w:rFonts w:ascii="Arial" w:hAnsi="Arial" w:cs="Arial"/>
          <w:b/>
          <w:bCs/>
          <w:u w:val="single"/>
        </w:rPr>
        <w:t>to non-discrimination, equality, and freedom from domination</w:t>
      </w:r>
    </w:p>
    <w:p w14:paraId="70C37110" w14:textId="5702D8D6" w:rsidR="00F731DF" w:rsidRDefault="00FE6867" w:rsidP="00B7158B">
      <w:pPr>
        <w:spacing w:line="480" w:lineRule="auto"/>
        <w:jc w:val="both"/>
        <w:rPr>
          <w:rFonts w:ascii="Arial" w:hAnsi="Arial" w:cs="Arial"/>
        </w:rPr>
      </w:pPr>
      <w:r w:rsidRPr="00FE6867">
        <w:rPr>
          <w:rFonts w:ascii="Arial" w:hAnsi="Arial" w:cs="Arial"/>
        </w:rPr>
        <w:t>The African Charter has several provisions providing for the right to equality, non</w:t>
      </w:r>
      <w:r>
        <w:rPr>
          <w:rFonts w:ascii="Arial" w:hAnsi="Arial" w:cs="Arial"/>
        </w:rPr>
        <w:t>-</w:t>
      </w:r>
      <w:r w:rsidRPr="00FE6867">
        <w:rPr>
          <w:rFonts w:ascii="Arial" w:hAnsi="Arial" w:cs="Arial"/>
        </w:rPr>
        <w:t xml:space="preserve"> discrimination, and freedom from domination.</w:t>
      </w:r>
      <w:r w:rsidR="004A243C">
        <w:rPr>
          <w:rStyle w:val="FootnoteReference"/>
          <w:rFonts w:ascii="Arial" w:hAnsi="Arial" w:cs="Arial"/>
        </w:rPr>
        <w:footnoteReference w:id="27"/>
      </w:r>
      <w:r w:rsidR="00B64639" w:rsidRPr="00B64639">
        <w:t xml:space="preserve"> </w:t>
      </w:r>
      <w:r w:rsidR="00B64639" w:rsidRPr="00B64639">
        <w:rPr>
          <w:rFonts w:ascii="Arial" w:hAnsi="Arial" w:cs="Arial"/>
        </w:rPr>
        <w:t>The right to non-discrimination and equality is further affirmed in various protocols to the African Charter, specifically addressing the rights of women, persons with disabilities, and the elderly</w:t>
      </w:r>
      <w:r w:rsidR="00B64639">
        <w:rPr>
          <w:rFonts w:ascii="Arial" w:hAnsi="Arial" w:cs="Arial"/>
        </w:rPr>
        <w:t>.</w:t>
      </w:r>
      <w:r w:rsidR="00296D22" w:rsidRPr="00296D22">
        <w:t xml:space="preserve"> </w:t>
      </w:r>
      <w:r w:rsidR="00296D22" w:rsidRPr="00296D22">
        <w:rPr>
          <w:rFonts w:ascii="Arial" w:hAnsi="Arial" w:cs="Arial"/>
        </w:rPr>
        <w:t>The African Commission has emphasised the significance of the right to non</w:t>
      </w:r>
      <w:r w:rsidR="00296D22">
        <w:rPr>
          <w:rFonts w:ascii="Arial" w:hAnsi="Arial" w:cs="Arial"/>
        </w:rPr>
        <w:t>-</w:t>
      </w:r>
      <w:r w:rsidR="00296D22" w:rsidRPr="00296D22">
        <w:rPr>
          <w:rFonts w:ascii="Arial" w:hAnsi="Arial" w:cs="Arial"/>
        </w:rPr>
        <w:t>discrimination and linked it to the right to dignity</w:t>
      </w:r>
      <w:r w:rsidR="00296D22">
        <w:rPr>
          <w:rFonts w:ascii="Arial" w:hAnsi="Arial" w:cs="Arial"/>
        </w:rPr>
        <w:t>.</w:t>
      </w:r>
      <w:r w:rsidR="00C620EA">
        <w:rPr>
          <w:rStyle w:val="FootnoteReference"/>
          <w:rFonts w:ascii="Arial" w:hAnsi="Arial" w:cs="Arial"/>
        </w:rPr>
        <w:footnoteReference w:id="28"/>
      </w:r>
    </w:p>
    <w:p w14:paraId="0CAB8F36" w14:textId="00F04504" w:rsidR="00B61358" w:rsidRDefault="00B61358" w:rsidP="00B7158B">
      <w:pPr>
        <w:spacing w:line="480" w:lineRule="auto"/>
        <w:jc w:val="both"/>
        <w:rPr>
          <w:rFonts w:ascii="Arial" w:hAnsi="Arial" w:cs="Arial"/>
        </w:rPr>
      </w:pPr>
      <w:r w:rsidRPr="00B61358">
        <w:rPr>
          <w:rFonts w:ascii="Arial" w:hAnsi="Arial" w:cs="Arial"/>
        </w:rPr>
        <w:t>Stakeholders have noted that AI can enhance inclusive development priorities.</w:t>
      </w:r>
      <w:r w:rsidR="00634753">
        <w:rPr>
          <w:rStyle w:val="FootnoteReference"/>
          <w:rFonts w:ascii="Arial" w:hAnsi="Arial" w:cs="Arial"/>
        </w:rPr>
        <w:footnoteReference w:id="29"/>
      </w:r>
      <w:r w:rsidR="001C74A2" w:rsidRPr="001C74A2">
        <w:t xml:space="preserve"> </w:t>
      </w:r>
      <w:r w:rsidR="001C74A2" w:rsidRPr="001C74A2">
        <w:rPr>
          <w:rFonts w:ascii="Arial" w:hAnsi="Arial" w:cs="Arial"/>
        </w:rPr>
        <w:t xml:space="preserve">AI can be used to address inequality, for example, through promotion of financial </w:t>
      </w:r>
      <w:r w:rsidR="001C74A2" w:rsidRPr="001C74A2">
        <w:rPr>
          <w:rFonts w:ascii="Arial" w:hAnsi="Arial" w:cs="Arial"/>
        </w:rPr>
        <w:lastRenderedPageBreak/>
        <w:t>inclusion.</w:t>
      </w:r>
      <w:r w:rsidR="00462E3A">
        <w:rPr>
          <w:rStyle w:val="FootnoteReference"/>
          <w:rFonts w:ascii="Arial" w:hAnsi="Arial" w:cs="Arial"/>
        </w:rPr>
        <w:footnoteReference w:id="30"/>
      </w:r>
      <w:r w:rsidR="00502CCD">
        <w:t xml:space="preserve"> T</w:t>
      </w:r>
      <w:r w:rsidR="00502CCD" w:rsidRPr="00502CCD">
        <w:rPr>
          <w:rFonts w:ascii="Arial" w:hAnsi="Arial" w:cs="Arial"/>
        </w:rPr>
        <w:t>here are AI companies in Africa which are working to reduce poverty and inequality.</w:t>
      </w:r>
      <w:r w:rsidR="0073261B">
        <w:rPr>
          <w:rStyle w:val="FootnoteReference"/>
          <w:rFonts w:ascii="Arial" w:hAnsi="Arial" w:cs="Arial"/>
        </w:rPr>
        <w:footnoteReference w:id="31"/>
      </w:r>
      <w:r w:rsidR="006C063C" w:rsidRPr="006C063C">
        <w:t xml:space="preserve"> </w:t>
      </w:r>
      <w:r w:rsidR="006C063C" w:rsidRPr="006C063C">
        <w:rPr>
          <w:rFonts w:ascii="Arial" w:hAnsi="Arial" w:cs="Arial"/>
        </w:rPr>
        <w:t>AI can help advance the rights of women, the child, the elderly and persons with disabilities depending particularly when its use is tailored to the needs of such groups of people. AI can thus be used to tackle underlying structural issues that underlie discrimination.</w:t>
      </w:r>
      <w:r w:rsidR="00203809">
        <w:rPr>
          <w:rStyle w:val="FootnoteReference"/>
          <w:rFonts w:ascii="Arial" w:hAnsi="Arial" w:cs="Arial"/>
        </w:rPr>
        <w:footnoteReference w:id="32"/>
      </w:r>
    </w:p>
    <w:p w14:paraId="2D851663" w14:textId="3CCD8B49" w:rsidR="00EF743B" w:rsidRDefault="00EF743B" w:rsidP="00B7158B">
      <w:pPr>
        <w:spacing w:line="480" w:lineRule="auto"/>
        <w:jc w:val="both"/>
        <w:rPr>
          <w:rFonts w:ascii="Arial" w:hAnsi="Arial" w:cs="Arial"/>
        </w:rPr>
      </w:pPr>
      <w:r w:rsidRPr="00EF743B">
        <w:rPr>
          <w:rFonts w:ascii="Arial" w:hAnsi="Arial" w:cs="Arial"/>
        </w:rPr>
        <w:t xml:space="preserve">Stakeholders have </w:t>
      </w:r>
      <w:r w:rsidR="00A61A7D">
        <w:rPr>
          <w:rFonts w:ascii="Arial" w:hAnsi="Arial" w:cs="Arial"/>
        </w:rPr>
        <w:t xml:space="preserve">also </w:t>
      </w:r>
      <w:r w:rsidRPr="00EF743B">
        <w:rPr>
          <w:rFonts w:ascii="Arial" w:hAnsi="Arial" w:cs="Arial"/>
        </w:rPr>
        <w:t>noted that due to various factors – including the use of unrepresentative data at the developmental stage of AI – there is risk of AI exacerbating discrimination on the grounds of race, gender, ethnicity, social status etc.</w:t>
      </w:r>
      <w:r w:rsidR="0023673B">
        <w:rPr>
          <w:rStyle w:val="FootnoteReference"/>
          <w:rFonts w:ascii="Arial" w:hAnsi="Arial" w:cs="Arial"/>
        </w:rPr>
        <w:footnoteReference w:id="33"/>
      </w:r>
      <w:r w:rsidR="00AD6D0C" w:rsidRPr="00AD6D0C">
        <w:t xml:space="preserve"> </w:t>
      </w:r>
      <w:r w:rsidR="00AD6D0C" w:rsidRPr="00AD6D0C">
        <w:rPr>
          <w:rFonts w:ascii="Arial" w:hAnsi="Arial" w:cs="Arial"/>
        </w:rPr>
        <w:t>There is also a critical risk that many Africans may not access these technologies on account of factors such as digital divide, rural urban divide, lack of infrastructure, affordability, AI literacy etc</w:t>
      </w:r>
      <w:r w:rsidR="00AD6D0C">
        <w:rPr>
          <w:rFonts w:ascii="Arial" w:hAnsi="Arial" w:cs="Arial"/>
        </w:rPr>
        <w:t>.</w:t>
      </w:r>
      <w:r w:rsidR="00FA7323">
        <w:rPr>
          <w:rStyle w:val="FootnoteReference"/>
          <w:rFonts w:ascii="Arial" w:hAnsi="Arial" w:cs="Arial"/>
        </w:rPr>
        <w:footnoteReference w:id="34"/>
      </w:r>
      <w:r w:rsidR="004D4880" w:rsidRPr="004D4880">
        <w:t xml:space="preserve"> </w:t>
      </w:r>
      <w:r w:rsidR="004D4880" w:rsidRPr="004D4880">
        <w:rPr>
          <w:rFonts w:ascii="Arial" w:hAnsi="Arial" w:cs="Arial"/>
        </w:rPr>
        <w:t>There is, therefore, a real danger of AI widening inequality.</w:t>
      </w:r>
      <w:r w:rsidR="007251D2">
        <w:rPr>
          <w:rStyle w:val="FootnoteReference"/>
          <w:rFonts w:ascii="Arial" w:hAnsi="Arial" w:cs="Arial"/>
        </w:rPr>
        <w:footnoteReference w:id="35"/>
      </w:r>
      <w:r w:rsidR="00A11D24" w:rsidRPr="00A11D24">
        <w:t xml:space="preserve"> </w:t>
      </w:r>
      <w:r w:rsidR="00A11D24" w:rsidRPr="00A11D24">
        <w:rPr>
          <w:rFonts w:ascii="Arial" w:hAnsi="Arial" w:cs="Arial"/>
        </w:rPr>
        <w:t>Stakeholders have equally highlighted the risk of discrimination in policy-making, where AI governance is often dominated by certain voices, excluding diverse perspectives.</w:t>
      </w:r>
      <w:r w:rsidR="009F6925">
        <w:rPr>
          <w:rStyle w:val="FootnoteReference"/>
          <w:rFonts w:ascii="Arial" w:hAnsi="Arial" w:cs="Arial"/>
        </w:rPr>
        <w:footnoteReference w:id="36"/>
      </w:r>
    </w:p>
    <w:p w14:paraId="380BD844" w14:textId="277B8636" w:rsidR="00DF4B49" w:rsidRPr="007334EE" w:rsidRDefault="00DF4B49" w:rsidP="00B7158B">
      <w:pPr>
        <w:pStyle w:val="ListParagraph"/>
        <w:numPr>
          <w:ilvl w:val="0"/>
          <w:numId w:val="2"/>
        </w:numPr>
        <w:spacing w:line="480" w:lineRule="auto"/>
        <w:rPr>
          <w:rFonts w:ascii="Arial" w:hAnsi="Arial" w:cs="Arial"/>
          <w:b/>
          <w:bCs/>
          <w:u w:val="single"/>
        </w:rPr>
      </w:pPr>
      <w:r w:rsidRPr="007334EE">
        <w:rPr>
          <w:rFonts w:ascii="Arial" w:hAnsi="Arial" w:cs="Arial"/>
          <w:b/>
          <w:bCs/>
          <w:u w:val="single"/>
        </w:rPr>
        <w:t>AI and the Right to life</w:t>
      </w:r>
    </w:p>
    <w:p w14:paraId="4DB025B1" w14:textId="77777777" w:rsidR="0044085E" w:rsidRDefault="00FF10D7" w:rsidP="00B7158B">
      <w:pPr>
        <w:spacing w:line="480" w:lineRule="auto"/>
        <w:jc w:val="both"/>
      </w:pPr>
      <w:r w:rsidRPr="00FF10D7">
        <w:rPr>
          <w:rFonts w:ascii="Arial" w:hAnsi="Arial" w:cs="Arial"/>
        </w:rPr>
        <w:lastRenderedPageBreak/>
        <w:t>The state's duty to respect, protect, promote, and fulfil the right to life includes preventing arbitrary deprivations of life by both state and non-state actors</w:t>
      </w:r>
      <w:r>
        <w:rPr>
          <w:rFonts w:ascii="Arial" w:hAnsi="Arial" w:cs="Arial"/>
        </w:rPr>
        <w:t>.</w:t>
      </w:r>
      <w:r w:rsidR="00773688">
        <w:rPr>
          <w:rStyle w:val="FootnoteReference"/>
          <w:rFonts w:ascii="Arial" w:hAnsi="Arial" w:cs="Arial"/>
        </w:rPr>
        <w:footnoteReference w:id="37"/>
      </w:r>
      <w:r w:rsidR="00057DFD" w:rsidRPr="00057DFD">
        <w:t xml:space="preserve"> </w:t>
      </w:r>
      <w:r w:rsidR="00057DFD" w:rsidRPr="00057DFD">
        <w:rPr>
          <w:rFonts w:ascii="Arial" w:hAnsi="Arial" w:cs="Arial"/>
        </w:rPr>
        <w:t>This is especially crucial given the significant involvement of non-state actors in the development and deployment of lethal AI technologies.</w:t>
      </w:r>
      <w:r w:rsidR="006B133B">
        <w:rPr>
          <w:rStyle w:val="FootnoteReference"/>
          <w:rFonts w:ascii="Arial" w:hAnsi="Arial" w:cs="Arial"/>
        </w:rPr>
        <w:footnoteReference w:id="38"/>
      </w:r>
      <w:r w:rsidR="00057DFD" w:rsidRPr="00057DFD">
        <w:rPr>
          <w:rFonts w:ascii="Arial" w:hAnsi="Arial" w:cs="Arial"/>
        </w:rPr>
        <w:t xml:space="preserve"> The African Commission has noted that “a deprivation of life is arbitrary if it is impermissible under international law, or under more protective domestic law provisions.</w:t>
      </w:r>
      <w:r w:rsidR="000A63A7">
        <w:rPr>
          <w:rStyle w:val="FootnoteReference"/>
          <w:rFonts w:ascii="Arial" w:hAnsi="Arial" w:cs="Arial"/>
        </w:rPr>
        <w:footnoteReference w:id="39"/>
      </w:r>
      <w:r w:rsidR="00057DFD" w:rsidRPr="00057DFD">
        <w:rPr>
          <w:rFonts w:ascii="Arial" w:hAnsi="Arial" w:cs="Arial"/>
        </w:rPr>
        <w:t xml:space="preserve"> Arbitrariness should be interpreted with reference to considerations such as appropriateness, justice, predictability, reasonableness, necessity, and proportionality.”</w:t>
      </w:r>
      <w:r w:rsidR="00301E91">
        <w:rPr>
          <w:rStyle w:val="FootnoteReference"/>
          <w:rFonts w:ascii="Arial" w:hAnsi="Arial" w:cs="Arial"/>
        </w:rPr>
        <w:footnoteReference w:id="40"/>
      </w:r>
      <w:r w:rsidR="0044085E" w:rsidRPr="0044085E">
        <w:t xml:space="preserve"> </w:t>
      </w:r>
    </w:p>
    <w:p w14:paraId="35902989" w14:textId="60B36E5D" w:rsidR="00DF4B49" w:rsidRDefault="0044085E" w:rsidP="00B7158B">
      <w:pPr>
        <w:spacing w:line="480" w:lineRule="auto"/>
        <w:jc w:val="both"/>
        <w:rPr>
          <w:rFonts w:ascii="Arial" w:hAnsi="Arial" w:cs="Arial"/>
        </w:rPr>
      </w:pPr>
      <w:r w:rsidRPr="0044085E">
        <w:rPr>
          <w:rFonts w:ascii="Arial" w:hAnsi="Arial" w:cs="Arial"/>
        </w:rPr>
        <w:t>State obligations relating to protection of humans from arbitrary deprivation of the right to life apply extraterritorially</w:t>
      </w:r>
      <w:r w:rsidR="007C1F05">
        <w:rPr>
          <w:rFonts w:ascii="Arial" w:hAnsi="Arial" w:cs="Arial"/>
        </w:rPr>
        <w:t>.</w:t>
      </w:r>
      <w:r w:rsidR="007C1F05">
        <w:rPr>
          <w:rStyle w:val="FootnoteReference"/>
          <w:rFonts w:ascii="Arial" w:hAnsi="Arial" w:cs="Arial"/>
        </w:rPr>
        <w:footnoteReference w:id="41"/>
      </w:r>
      <w:r w:rsidR="00F17B64" w:rsidRPr="00F17B64">
        <w:t xml:space="preserve"> </w:t>
      </w:r>
      <w:r w:rsidR="00F17B64" w:rsidRPr="00F17B64">
        <w:rPr>
          <w:rFonts w:ascii="Arial" w:hAnsi="Arial" w:cs="Arial"/>
        </w:rPr>
        <w:t>The concept of extraterritorial application of human rights is critical because lethal AI applications are being deployed across borders.</w:t>
      </w:r>
      <w:r w:rsidR="00846900">
        <w:rPr>
          <w:rStyle w:val="FootnoteReference"/>
          <w:rFonts w:ascii="Arial" w:hAnsi="Arial" w:cs="Arial"/>
        </w:rPr>
        <w:footnoteReference w:id="42"/>
      </w:r>
      <w:r w:rsidR="001139FD" w:rsidRPr="001139FD">
        <w:t xml:space="preserve"> </w:t>
      </w:r>
      <w:r w:rsidR="001139FD" w:rsidRPr="001139FD">
        <w:rPr>
          <w:rFonts w:ascii="Arial" w:hAnsi="Arial" w:cs="Arial"/>
        </w:rPr>
        <w:t>The intersection of AI with the right to life carries profound implications, spanning across civilian contexts,</w:t>
      </w:r>
      <w:r w:rsidR="0026136D" w:rsidRPr="0026136D">
        <w:t xml:space="preserve"> </w:t>
      </w:r>
      <w:r w:rsidR="0026136D" w:rsidRPr="0026136D">
        <w:rPr>
          <w:rFonts w:ascii="Arial" w:hAnsi="Arial" w:cs="Arial"/>
        </w:rPr>
        <w:t>law enforcement and military domain.</w:t>
      </w:r>
      <w:r w:rsidR="0026136D">
        <w:rPr>
          <w:rStyle w:val="FootnoteReference"/>
          <w:rFonts w:ascii="Arial" w:hAnsi="Arial" w:cs="Arial"/>
        </w:rPr>
        <w:footnoteReference w:id="43"/>
      </w:r>
      <w:r w:rsidR="000A34A4" w:rsidRPr="000A34A4">
        <w:t xml:space="preserve"> </w:t>
      </w:r>
      <w:r w:rsidR="000A34A4" w:rsidRPr="000A34A4">
        <w:rPr>
          <w:rFonts w:ascii="Arial" w:hAnsi="Arial" w:cs="Arial"/>
        </w:rPr>
        <w:t>States must ensure that development and deployment of lethal AI technologies is consistent with the right to life.</w:t>
      </w:r>
      <w:r w:rsidR="0077751E">
        <w:rPr>
          <w:rStyle w:val="FootnoteReference"/>
          <w:rFonts w:ascii="Arial" w:hAnsi="Arial" w:cs="Arial"/>
        </w:rPr>
        <w:footnoteReference w:id="44"/>
      </w:r>
    </w:p>
    <w:p w14:paraId="6BF84B24" w14:textId="4294299E" w:rsidR="00AE41B1" w:rsidRDefault="00AE41B1" w:rsidP="00B7158B">
      <w:pPr>
        <w:spacing w:line="480" w:lineRule="auto"/>
        <w:rPr>
          <w:rFonts w:ascii="Arial" w:hAnsi="Arial" w:cs="Arial"/>
        </w:rPr>
      </w:pPr>
      <w:r w:rsidRPr="00AE41B1">
        <w:rPr>
          <w:rFonts w:ascii="Arial" w:hAnsi="Arial" w:cs="Arial"/>
        </w:rPr>
        <w:t xml:space="preserve">Stakeholders have noted that the use of lethal AI technologies like autonomous weapon systems (AWS) – both in law enforcement or armed conflict – may result in </w:t>
      </w:r>
      <w:r w:rsidRPr="00AE41B1">
        <w:rPr>
          <w:rFonts w:ascii="Arial" w:hAnsi="Arial" w:cs="Arial"/>
        </w:rPr>
        <w:lastRenderedPageBreak/>
        <w:t>arbitrary deprivation of the right to life.</w:t>
      </w:r>
      <w:r w:rsidR="00DB4F0E">
        <w:rPr>
          <w:rStyle w:val="FootnoteReference"/>
          <w:rFonts w:ascii="Arial" w:hAnsi="Arial" w:cs="Arial"/>
        </w:rPr>
        <w:footnoteReference w:id="45"/>
      </w:r>
      <w:r w:rsidR="00AC4B45" w:rsidRPr="00AC4B45">
        <w:t xml:space="preserve"> </w:t>
      </w:r>
      <w:r w:rsidR="00AC4B45" w:rsidRPr="00AC4B45">
        <w:rPr>
          <w:rFonts w:ascii="Arial" w:hAnsi="Arial" w:cs="Arial"/>
        </w:rPr>
        <w:t>There are several issues regarding the appropriateness of entrusting machines with the power over life and death</w:t>
      </w:r>
      <w:r w:rsidR="008A4BEB">
        <w:rPr>
          <w:rFonts w:ascii="Arial" w:hAnsi="Arial" w:cs="Arial"/>
        </w:rPr>
        <w:t>,</w:t>
      </w:r>
      <w:r w:rsidR="008A4BEB">
        <w:rPr>
          <w:rStyle w:val="FootnoteReference"/>
          <w:rFonts w:ascii="Arial" w:hAnsi="Arial" w:cs="Arial"/>
        </w:rPr>
        <w:footnoteReference w:id="46"/>
      </w:r>
      <w:r w:rsidR="00627703" w:rsidRPr="00627703">
        <w:t xml:space="preserve"> </w:t>
      </w:r>
      <w:r w:rsidR="00627703" w:rsidRPr="00627703">
        <w:rPr>
          <w:rFonts w:ascii="Arial" w:hAnsi="Arial" w:cs="Arial"/>
        </w:rPr>
        <w:t>the unpredictability of AWS</w:t>
      </w:r>
      <w:r w:rsidR="0052227A">
        <w:rPr>
          <w:rFonts w:ascii="Arial" w:hAnsi="Arial" w:cs="Arial"/>
        </w:rPr>
        <w:t>,</w:t>
      </w:r>
      <w:r w:rsidR="0052227A">
        <w:rPr>
          <w:rStyle w:val="FootnoteReference"/>
          <w:rFonts w:ascii="Arial" w:hAnsi="Arial" w:cs="Arial"/>
        </w:rPr>
        <w:footnoteReference w:id="47"/>
      </w:r>
      <w:r w:rsidR="004A7A7C" w:rsidRPr="004A7A7C">
        <w:t xml:space="preserve"> </w:t>
      </w:r>
      <w:r w:rsidR="004A7A7C" w:rsidRPr="004A7A7C">
        <w:rPr>
          <w:rFonts w:ascii="Arial" w:hAnsi="Arial" w:cs="Arial"/>
        </w:rPr>
        <w:t>their capacity to comply with human rights and international humanitarian law (IHL) principles of distinction, necessity, and proportionality of lethal force</w:t>
      </w:r>
      <w:r w:rsidR="00E123B9">
        <w:rPr>
          <w:rFonts w:ascii="Arial" w:hAnsi="Arial" w:cs="Arial"/>
        </w:rPr>
        <w:t>,</w:t>
      </w:r>
      <w:r w:rsidR="00E123B9">
        <w:rPr>
          <w:rStyle w:val="FootnoteReference"/>
          <w:rFonts w:ascii="Arial" w:hAnsi="Arial" w:cs="Arial"/>
        </w:rPr>
        <w:footnoteReference w:id="48"/>
      </w:r>
      <w:r w:rsidR="00547706" w:rsidRPr="00547706">
        <w:t xml:space="preserve"> </w:t>
      </w:r>
      <w:r w:rsidR="00547706" w:rsidRPr="00547706">
        <w:rPr>
          <w:rFonts w:ascii="Arial" w:hAnsi="Arial" w:cs="Arial"/>
        </w:rPr>
        <w:t>and the crucial matters of accountability and justice.</w:t>
      </w:r>
      <w:r w:rsidR="006A29B5">
        <w:rPr>
          <w:rStyle w:val="FootnoteReference"/>
          <w:rFonts w:ascii="Arial" w:hAnsi="Arial" w:cs="Arial"/>
        </w:rPr>
        <w:footnoteReference w:id="49"/>
      </w:r>
    </w:p>
    <w:p w14:paraId="1341CBD3" w14:textId="262A47AA" w:rsidR="00FD5691" w:rsidRPr="0067282D" w:rsidRDefault="007334EE" w:rsidP="00B7158B">
      <w:pPr>
        <w:pStyle w:val="ListParagraph"/>
        <w:numPr>
          <w:ilvl w:val="0"/>
          <w:numId w:val="1"/>
        </w:numPr>
        <w:spacing w:line="480" w:lineRule="auto"/>
        <w:rPr>
          <w:rFonts w:ascii="Arial" w:hAnsi="Arial" w:cs="Arial"/>
          <w:b/>
          <w:bCs/>
        </w:rPr>
      </w:pPr>
      <w:r w:rsidRPr="0067282D">
        <w:rPr>
          <w:rFonts w:ascii="Arial" w:hAnsi="Arial" w:cs="Arial"/>
          <w:b/>
          <w:bCs/>
        </w:rPr>
        <w:t>AI AND SOCIO-ECONOMIC AND CULTURAL RIGHTS</w:t>
      </w:r>
    </w:p>
    <w:p w14:paraId="069A004D" w14:textId="05D12AD2" w:rsidR="00F96D97" w:rsidRDefault="00A06B93" w:rsidP="00B7158B">
      <w:pPr>
        <w:spacing w:line="480" w:lineRule="auto"/>
        <w:jc w:val="both"/>
        <w:rPr>
          <w:rFonts w:ascii="Arial" w:hAnsi="Arial" w:cs="Arial"/>
        </w:rPr>
      </w:pPr>
      <w:r w:rsidRPr="00A06B93">
        <w:rPr>
          <w:rFonts w:ascii="Arial" w:hAnsi="Arial" w:cs="Arial"/>
        </w:rPr>
        <w:t>While many studies claim that AI</w:t>
      </w:r>
      <w:r>
        <w:rPr>
          <w:rFonts w:ascii="Arial" w:hAnsi="Arial" w:cs="Arial"/>
        </w:rPr>
        <w:t xml:space="preserve"> </w:t>
      </w:r>
      <w:r w:rsidRPr="00A06B93">
        <w:rPr>
          <w:rFonts w:ascii="Arial" w:hAnsi="Arial" w:cs="Arial"/>
        </w:rPr>
        <w:t>will have a positive impact on socio-economic rights,</w:t>
      </w:r>
      <w:r w:rsidR="00BD4138">
        <w:rPr>
          <w:rStyle w:val="FootnoteReference"/>
          <w:rFonts w:ascii="Arial" w:hAnsi="Arial" w:cs="Arial"/>
        </w:rPr>
        <w:footnoteReference w:id="50"/>
      </w:r>
      <w:r w:rsidR="002C547E" w:rsidRPr="002C547E">
        <w:t xml:space="preserve"> </w:t>
      </w:r>
      <w:r w:rsidR="002C547E" w:rsidRPr="002C547E">
        <w:rPr>
          <w:rFonts w:ascii="Arial" w:hAnsi="Arial" w:cs="Arial"/>
        </w:rPr>
        <w:t>the main challenge is that many African countries do not have the requisite infrastructure and readiness to harness the potential that AI promises.</w:t>
      </w:r>
      <w:r w:rsidR="005C59E2">
        <w:rPr>
          <w:rStyle w:val="FootnoteReference"/>
          <w:rFonts w:ascii="Arial" w:hAnsi="Arial" w:cs="Arial"/>
        </w:rPr>
        <w:footnoteReference w:id="51"/>
      </w:r>
      <w:r w:rsidR="00334210">
        <w:rPr>
          <w:rFonts w:ascii="Arial" w:hAnsi="Arial" w:cs="Arial"/>
        </w:rPr>
        <w:t xml:space="preserve">In the succeeding paragraphs of this work, we shall examine how AI impacts on socio-economic and cultural rights of Africans. </w:t>
      </w:r>
    </w:p>
    <w:p w14:paraId="5D607807" w14:textId="457B1A6B" w:rsidR="00334210" w:rsidRPr="0067282D" w:rsidRDefault="00612EB2" w:rsidP="00B7158B">
      <w:pPr>
        <w:pStyle w:val="ListParagraph"/>
        <w:numPr>
          <w:ilvl w:val="0"/>
          <w:numId w:val="2"/>
        </w:numPr>
        <w:spacing w:line="480" w:lineRule="auto"/>
        <w:rPr>
          <w:rFonts w:ascii="Arial" w:hAnsi="Arial" w:cs="Arial"/>
          <w:b/>
          <w:bCs/>
          <w:u w:val="single"/>
        </w:rPr>
      </w:pPr>
      <w:r w:rsidRPr="0067282D">
        <w:rPr>
          <w:rFonts w:ascii="Arial" w:hAnsi="Arial" w:cs="Arial"/>
          <w:b/>
          <w:bCs/>
          <w:u w:val="single"/>
        </w:rPr>
        <w:t>AI and the Right to Property</w:t>
      </w:r>
    </w:p>
    <w:p w14:paraId="14E8F1D5" w14:textId="0DE410CB" w:rsidR="00612EB2" w:rsidRDefault="008B3715" w:rsidP="00B7158B">
      <w:pPr>
        <w:spacing w:line="480" w:lineRule="auto"/>
        <w:jc w:val="both"/>
        <w:rPr>
          <w:rFonts w:ascii="Arial" w:hAnsi="Arial" w:cs="Arial"/>
        </w:rPr>
      </w:pPr>
      <w:r w:rsidRPr="008B3715">
        <w:rPr>
          <w:rFonts w:ascii="Arial" w:hAnsi="Arial" w:cs="Arial"/>
        </w:rPr>
        <w:lastRenderedPageBreak/>
        <w:t xml:space="preserve">There </w:t>
      </w:r>
      <w:proofErr w:type="gramStart"/>
      <w:r w:rsidRPr="008B3715">
        <w:rPr>
          <w:rFonts w:ascii="Arial" w:hAnsi="Arial" w:cs="Arial"/>
        </w:rPr>
        <w:t>are</w:t>
      </w:r>
      <w:proofErr w:type="gramEnd"/>
      <w:r w:rsidRPr="008B3715">
        <w:rPr>
          <w:rFonts w:ascii="Arial" w:hAnsi="Arial" w:cs="Arial"/>
        </w:rPr>
        <w:t xml:space="preserve"> various right to property implications of AI. The African Charter provides for the protection of the right to property.</w:t>
      </w:r>
      <w:r>
        <w:rPr>
          <w:rStyle w:val="FootnoteReference"/>
          <w:rFonts w:ascii="Arial" w:hAnsi="Arial" w:cs="Arial"/>
        </w:rPr>
        <w:footnoteReference w:id="52"/>
      </w:r>
      <w:r w:rsidR="00CA66CC" w:rsidRPr="00CA66CC">
        <w:t xml:space="preserve"> </w:t>
      </w:r>
      <w:r w:rsidR="00CA66CC" w:rsidRPr="00CA66CC">
        <w:rPr>
          <w:rFonts w:ascii="Arial" w:hAnsi="Arial" w:cs="Arial"/>
        </w:rPr>
        <w:t>The African Commission has noted that the right to property extends to both individuals and communities.</w:t>
      </w:r>
      <w:r w:rsidR="001D764D">
        <w:rPr>
          <w:rStyle w:val="FootnoteReference"/>
          <w:rFonts w:ascii="Arial" w:hAnsi="Arial" w:cs="Arial"/>
        </w:rPr>
        <w:footnoteReference w:id="53"/>
      </w:r>
      <w:r w:rsidR="00DD1668" w:rsidRPr="00DD1668">
        <w:t xml:space="preserve"> </w:t>
      </w:r>
      <w:r w:rsidR="00DD1668" w:rsidRPr="00DD1668">
        <w:rPr>
          <w:rFonts w:ascii="Arial" w:hAnsi="Arial" w:cs="Arial"/>
        </w:rPr>
        <w:t>It has noted that for many Africans, the right to property is linked to their culture, religion, and identity.</w:t>
      </w:r>
      <w:r w:rsidR="00155145">
        <w:rPr>
          <w:rStyle w:val="FootnoteReference"/>
          <w:rFonts w:ascii="Arial" w:hAnsi="Arial" w:cs="Arial"/>
        </w:rPr>
        <w:footnoteReference w:id="54"/>
      </w:r>
      <w:r w:rsidR="00373C21" w:rsidRPr="00373C21">
        <w:t xml:space="preserve"> </w:t>
      </w:r>
      <w:r w:rsidR="00373C21" w:rsidRPr="00373C21">
        <w:rPr>
          <w:rFonts w:ascii="Arial" w:hAnsi="Arial" w:cs="Arial"/>
        </w:rPr>
        <w:t>The African Commission has also noted that for many African communities, the right to property is linked to the right to life and livelihood.</w:t>
      </w:r>
      <w:r w:rsidR="004A51A3">
        <w:rPr>
          <w:rStyle w:val="FootnoteReference"/>
          <w:rFonts w:ascii="Arial" w:hAnsi="Arial" w:cs="Arial"/>
        </w:rPr>
        <w:footnoteReference w:id="55"/>
      </w:r>
      <w:r w:rsidR="00572206" w:rsidRPr="00572206">
        <w:t xml:space="preserve"> </w:t>
      </w:r>
      <w:r w:rsidR="00572206" w:rsidRPr="00572206">
        <w:rPr>
          <w:rFonts w:ascii="Arial" w:hAnsi="Arial" w:cs="Arial"/>
        </w:rPr>
        <w:t>The African Commission has elaborated that the right to property encompasses three fundamental elements: the right to utilize the property (usus), to derive benefits from its fruits (</w:t>
      </w:r>
      <w:proofErr w:type="spellStart"/>
      <w:r w:rsidR="00572206" w:rsidRPr="00572206">
        <w:rPr>
          <w:rFonts w:ascii="Arial" w:hAnsi="Arial" w:cs="Arial"/>
        </w:rPr>
        <w:t>fuctus</w:t>
      </w:r>
      <w:proofErr w:type="spellEnd"/>
      <w:r w:rsidR="00572206" w:rsidRPr="00572206">
        <w:rPr>
          <w:rFonts w:ascii="Arial" w:hAnsi="Arial" w:cs="Arial"/>
        </w:rPr>
        <w:t>), and the capacity to transfer or dispose of the property (</w:t>
      </w:r>
      <w:proofErr w:type="spellStart"/>
      <w:r w:rsidR="00572206" w:rsidRPr="00572206">
        <w:rPr>
          <w:rFonts w:ascii="Arial" w:hAnsi="Arial" w:cs="Arial"/>
        </w:rPr>
        <w:t>abusus</w:t>
      </w:r>
      <w:proofErr w:type="spellEnd"/>
      <w:r w:rsidR="00572206" w:rsidRPr="00572206">
        <w:rPr>
          <w:rFonts w:ascii="Arial" w:hAnsi="Arial" w:cs="Arial"/>
        </w:rPr>
        <w:t>)</w:t>
      </w:r>
      <w:r w:rsidR="00572206">
        <w:rPr>
          <w:rFonts w:ascii="Arial" w:hAnsi="Arial" w:cs="Arial"/>
        </w:rPr>
        <w:t>.</w:t>
      </w:r>
      <w:r w:rsidR="00CF2D54">
        <w:rPr>
          <w:rStyle w:val="FootnoteReference"/>
          <w:rFonts w:ascii="Arial" w:hAnsi="Arial" w:cs="Arial"/>
        </w:rPr>
        <w:footnoteReference w:id="56"/>
      </w:r>
      <w:r w:rsidR="00A15D9B" w:rsidRPr="00A15D9B">
        <w:t xml:space="preserve"> </w:t>
      </w:r>
      <w:r w:rsidR="00A15D9B" w:rsidRPr="00A15D9B">
        <w:rPr>
          <w:rFonts w:ascii="Arial" w:hAnsi="Arial" w:cs="Arial"/>
        </w:rPr>
        <w:t>In this formulation, individuals and communities have a right to undisturbed enjoyment of their property and the state is obliged to ensure enjoyment of this right in all its aspects, including protection from interference from non-state actors.</w:t>
      </w:r>
      <w:r w:rsidR="0009415F">
        <w:rPr>
          <w:rStyle w:val="FootnoteReference"/>
          <w:rFonts w:ascii="Arial" w:hAnsi="Arial" w:cs="Arial"/>
        </w:rPr>
        <w:footnoteReference w:id="57"/>
      </w:r>
    </w:p>
    <w:p w14:paraId="1DD2EFC2" w14:textId="5763C668" w:rsidR="00281720" w:rsidRDefault="00281720" w:rsidP="00B7158B">
      <w:pPr>
        <w:spacing w:line="480" w:lineRule="auto"/>
        <w:jc w:val="both"/>
        <w:rPr>
          <w:rFonts w:ascii="Arial" w:hAnsi="Arial" w:cs="Arial"/>
        </w:rPr>
      </w:pPr>
      <w:r>
        <w:rPr>
          <w:rFonts w:ascii="Arial" w:hAnsi="Arial" w:cs="Arial"/>
        </w:rPr>
        <w:t xml:space="preserve">AI </w:t>
      </w:r>
      <w:r w:rsidRPr="00281720">
        <w:rPr>
          <w:rFonts w:ascii="Arial" w:hAnsi="Arial" w:cs="Arial"/>
        </w:rPr>
        <w:t>open new avenues for wealth creation and property ownership – including intellectual property, particularly, for the African youth.</w:t>
      </w:r>
      <w:r w:rsidR="00110BA9">
        <w:rPr>
          <w:rStyle w:val="FootnoteReference"/>
          <w:rFonts w:ascii="Arial" w:hAnsi="Arial" w:cs="Arial"/>
        </w:rPr>
        <w:footnoteReference w:id="58"/>
      </w:r>
      <w:r w:rsidR="00D140AF" w:rsidRPr="00D140AF">
        <w:t xml:space="preserve"> </w:t>
      </w:r>
      <w:r w:rsidR="00D140AF" w:rsidRPr="00D140AF">
        <w:rPr>
          <w:rFonts w:ascii="Arial" w:hAnsi="Arial" w:cs="Arial"/>
        </w:rPr>
        <w:t>Several African developers and tech companies are engaged in AI research and innovation</w:t>
      </w:r>
      <w:r w:rsidR="00D140AF">
        <w:rPr>
          <w:rFonts w:ascii="Arial" w:hAnsi="Arial" w:cs="Arial"/>
        </w:rPr>
        <w:t>.</w:t>
      </w:r>
      <w:r w:rsidR="00D140AF">
        <w:rPr>
          <w:rStyle w:val="FootnoteReference"/>
          <w:rFonts w:ascii="Arial" w:hAnsi="Arial" w:cs="Arial"/>
        </w:rPr>
        <w:footnoteReference w:id="59"/>
      </w:r>
      <w:r w:rsidR="00EB09CA" w:rsidRPr="00EB09CA">
        <w:t xml:space="preserve"> </w:t>
      </w:r>
      <w:r w:rsidR="00EB09CA" w:rsidRPr="00EB09CA">
        <w:rPr>
          <w:rFonts w:ascii="Arial" w:hAnsi="Arial" w:cs="Arial"/>
        </w:rPr>
        <w:t xml:space="preserve">Nevertheless, in the field of intellectual property rights, AI raises novel questions as to whether AI systems </w:t>
      </w:r>
      <w:r w:rsidR="00EB09CA" w:rsidRPr="00EB09CA">
        <w:rPr>
          <w:rFonts w:ascii="Arial" w:hAnsi="Arial" w:cs="Arial"/>
        </w:rPr>
        <w:lastRenderedPageBreak/>
        <w:t>can be inventors and "owners" of intellectual property.</w:t>
      </w:r>
      <w:r w:rsidR="007224C9">
        <w:rPr>
          <w:rStyle w:val="FootnoteReference"/>
          <w:rFonts w:ascii="Arial" w:hAnsi="Arial" w:cs="Arial"/>
        </w:rPr>
        <w:footnoteReference w:id="60"/>
      </w:r>
      <w:r w:rsidR="00FC0BC7">
        <w:rPr>
          <w:rFonts w:ascii="Arial" w:hAnsi="Arial" w:cs="Arial"/>
        </w:rPr>
        <w:t xml:space="preserve"> </w:t>
      </w:r>
      <w:r w:rsidR="00FC0BC7" w:rsidRPr="00FC0BC7">
        <w:rPr>
          <w:rFonts w:ascii="Arial" w:hAnsi="Arial" w:cs="Arial"/>
        </w:rPr>
        <w:t>AI also holds the potential to facilitate the redistribution of wealth in Africa by optimising resource allocation and promoting inclusive development – particularly, to marginalised</w:t>
      </w:r>
      <w:r w:rsidR="0047072A">
        <w:rPr>
          <w:rFonts w:ascii="Arial" w:hAnsi="Arial" w:cs="Arial"/>
        </w:rPr>
        <w:t xml:space="preserve"> </w:t>
      </w:r>
      <w:r w:rsidR="0047072A" w:rsidRPr="0047072A">
        <w:rPr>
          <w:rFonts w:ascii="Arial" w:hAnsi="Arial" w:cs="Arial"/>
        </w:rPr>
        <w:t>communities. In land ownership for African countries currently going through land reform programs, AI-driven solutions such as precision agriculture, remote sensing, and predictive analytics offer tools to enhance soil management, crop monitoring, and yield optimisation</w:t>
      </w:r>
      <w:r w:rsidR="0047072A">
        <w:rPr>
          <w:rFonts w:ascii="Arial" w:hAnsi="Arial" w:cs="Arial"/>
        </w:rPr>
        <w:t>.</w:t>
      </w:r>
      <w:r w:rsidR="001A37DA">
        <w:rPr>
          <w:rStyle w:val="FootnoteReference"/>
          <w:rFonts w:ascii="Arial" w:hAnsi="Arial" w:cs="Arial"/>
        </w:rPr>
        <w:footnoteReference w:id="61"/>
      </w:r>
    </w:p>
    <w:p w14:paraId="472CB197" w14:textId="66BB05E2" w:rsidR="006D64EB" w:rsidRDefault="006D64EB" w:rsidP="00B7158B">
      <w:pPr>
        <w:spacing w:line="480" w:lineRule="auto"/>
        <w:rPr>
          <w:rFonts w:ascii="Arial" w:hAnsi="Arial" w:cs="Arial"/>
        </w:rPr>
      </w:pPr>
      <w:r w:rsidRPr="006D64EB">
        <w:rPr>
          <w:rFonts w:ascii="Arial" w:hAnsi="Arial" w:cs="Arial"/>
        </w:rPr>
        <w:t>Notwithstanding some of the opportunities presented by AI for the right to property, there are also significant risks.</w:t>
      </w:r>
      <w:r w:rsidR="00165066">
        <w:rPr>
          <w:rStyle w:val="FootnoteReference"/>
          <w:rFonts w:ascii="Arial" w:hAnsi="Arial" w:cs="Arial"/>
        </w:rPr>
        <w:footnoteReference w:id="62"/>
      </w:r>
      <w:r w:rsidR="001860FA" w:rsidRPr="001860FA">
        <w:t xml:space="preserve"> </w:t>
      </w:r>
      <w:r w:rsidR="001860FA" w:rsidRPr="001860FA">
        <w:rPr>
          <w:rFonts w:ascii="Arial" w:hAnsi="Arial" w:cs="Arial"/>
        </w:rPr>
        <w:t>One of the significant risks posed by AI to the right to property in Africa is the monopolisation of AI technologies and intellectual property by foreign entities.</w:t>
      </w:r>
      <w:r w:rsidR="002A2CB8">
        <w:rPr>
          <w:rStyle w:val="FootnoteReference"/>
          <w:rFonts w:ascii="Arial" w:hAnsi="Arial" w:cs="Arial"/>
        </w:rPr>
        <w:footnoteReference w:id="63"/>
      </w:r>
      <w:r w:rsidR="00DC32EE">
        <w:rPr>
          <w:rFonts w:ascii="Arial" w:hAnsi="Arial" w:cs="Arial"/>
        </w:rPr>
        <w:t xml:space="preserve"> </w:t>
      </w:r>
      <w:r w:rsidR="00DC32EE" w:rsidRPr="00DC32EE">
        <w:rPr>
          <w:rFonts w:ascii="Arial" w:hAnsi="Arial" w:cs="Arial"/>
        </w:rPr>
        <w:t>Currently, much of the AI infrastructure and technology are owned and controlled by individuals and companies outside of Africa, a situation that encourages exploitation and inequality.</w:t>
      </w:r>
      <w:r w:rsidR="00DC32EE">
        <w:rPr>
          <w:rStyle w:val="FootnoteReference"/>
          <w:rFonts w:ascii="Arial" w:hAnsi="Arial" w:cs="Arial"/>
        </w:rPr>
        <w:footnoteReference w:id="64"/>
      </w:r>
      <w:r w:rsidR="00254772" w:rsidRPr="00254772">
        <w:t xml:space="preserve"> </w:t>
      </w:r>
      <w:r w:rsidR="00254772" w:rsidRPr="00254772">
        <w:rPr>
          <w:rFonts w:ascii="Arial" w:hAnsi="Arial" w:cs="Arial"/>
        </w:rPr>
        <w:t>Property ownership in the field of AI is also subject to other conditions such as education, social status, gender, rural-urban divide etc which also worsens inequality.</w:t>
      </w:r>
      <w:r w:rsidR="00784E22">
        <w:rPr>
          <w:rStyle w:val="FootnoteReference"/>
          <w:rFonts w:ascii="Arial" w:hAnsi="Arial" w:cs="Arial"/>
        </w:rPr>
        <w:footnoteReference w:id="65"/>
      </w:r>
      <w:r w:rsidR="00684DB4" w:rsidRPr="00684DB4">
        <w:t xml:space="preserve"> </w:t>
      </w:r>
      <w:r w:rsidR="00684DB4" w:rsidRPr="00684DB4">
        <w:rPr>
          <w:rFonts w:ascii="Arial" w:hAnsi="Arial" w:cs="Arial"/>
        </w:rPr>
        <w:t xml:space="preserve">Further, as AI-driven automation displaces </w:t>
      </w:r>
      <w:r w:rsidR="00684DB4" w:rsidRPr="00684DB4">
        <w:rPr>
          <w:rFonts w:ascii="Arial" w:hAnsi="Arial" w:cs="Arial"/>
        </w:rPr>
        <w:lastRenderedPageBreak/>
        <w:t>traditional jobs and</w:t>
      </w:r>
      <w:r w:rsidR="005704B6">
        <w:rPr>
          <w:rFonts w:ascii="Arial" w:hAnsi="Arial" w:cs="Arial"/>
        </w:rPr>
        <w:t xml:space="preserve"> </w:t>
      </w:r>
      <w:r w:rsidR="005704B6" w:rsidRPr="005704B6">
        <w:rPr>
          <w:rFonts w:ascii="Arial" w:hAnsi="Arial" w:cs="Arial"/>
        </w:rPr>
        <w:t>industries, large segments of the population may experience loss of livelihoods and property</w:t>
      </w:r>
      <w:r w:rsidR="005704B6">
        <w:rPr>
          <w:rFonts w:ascii="Arial" w:hAnsi="Arial" w:cs="Arial"/>
        </w:rPr>
        <w:t>.</w:t>
      </w:r>
      <w:r w:rsidR="004B3A0B">
        <w:rPr>
          <w:rStyle w:val="FootnoteReference"/>
          <w:rFonts w:ascii="Arial" w:hAnsi="Arial" w:cs="Arial"/>
        </w:rPr>
        <w:footnoteReference w:id="66"/>
      </w:r>
    </w:p>
    <w:p w14:paraId="0A32648A" w14:textId="406F5EDD" w:rsidR="00CA2437" w:rsidRPr="0067282D" w:rsidRDefault="00E24730" w:rsidP="00B7158B">
      <w:pPr>
        <w:pStyle w:val="ListParagraph"/>
        <w:numPr>
          <w:ilvl w:val="0"/>
          <w:numId w:val="2"/>
        </w:numPr>
        <w:spacing w:line="480" w:lineRule="auto"/>
        <w:rPr>
          <w:rFonts w:ascii="Arial" w:hAnsi="Arial" w:cs="Arial"/>
          <w:b/>
          <w:bCs/>
          <w:u w:val="single"/>
        </w:rPr>
      </w:pPr>
      <w:r w:rsidRPr="0067282D">
        <w:rPr>
          <w:rFonts w:ascii="Arial" w:hAnsi="Arial" w:cs="Arial"/>
          <w:b/>
          <w:bCs/>
          <w:u w:val="single"/>
        </w:rPr>
        <w:t>AI and the Right to work</w:t>
      </w:r>
    </w:p>
    <w:p w14:paraId="3D7759CD" w14:textId="3682DEA8" w:rsidR="00E24730" w:rsidRDefault="002B4961" w:rsidP="00B7158B">
      <w:pPr>
        <w:spacing w:line="480" w:lineRule="auto"/>
        <w:jc w:val="both"/>
        <w:rPr>
          <w:rFonts w:ascii="Arial" w:hAnsi="Arial" w:cs="Arial"/>
        </w:rPr>
      </w:pPr>
      <w:r w:rsidRPr="002B4961">
        <w:rPr>
          <w:rFonts w:ascii="Arial" w:hAnsi="Arial" w:cs="Arial"/>
        </w:rPr>
        <w:t>AI presents several implications for the right to work. The African Charter provides for the protection of the right to work.</w:t>
      </w:r>
      <w:r w:rsidR="00AF3A94">
        <w:rPr>
          <w:rStyle w:val="FootnoteReference"/>
          <w:rFonts w:ascii="Arial" w:hAnsi="Arial" w:cs="Arial"/>
        </w:rPr>
        <w:footnoteReference w:id="67"/>
      </w:r>
      <w:r w:rsidR="00680F61" w:rsidRPr="00680F61">
        <w:t xml:space="preserve"> </w:t>
      </w:r>
      <w:r w:rsidR="00680F61" w:rsidRPr="00680F61">
        <w:rPr>
          <w:rFonts w:ascii="Arial" w:hAnsi="Arial" w:cs="Arial"/>
        </w:rPr>
        <w:t>The African Commission and the African Court have emphasised the importance of the right to work in the context of Africa.</w:t>
      </w:r>
      <w:r w:rsidR="00B23826">
        <w:rPr>
          <w:rStyle w:val="FootnoteReference"/>
          <w:rFonts w:ascii="Arial" w:hAnsi="Arial" w:cs="Arial"/>
        </w:rPr>
        <w:footnoteReference w:id="68"/>
      </w:r>
      <w:r w:rsidR="00DC3F21" w:rsidRPr="00DC3F21">
        <w:t xml:space="preserve"> </w:t>
      </w:r>
      <w:r w:rsidR="00DC3F21" w:rsidRPr="00DC3F21">
        <w:rPr>
          <w:rFonts w:ascii="Arial" w:hAnsi="Arial" w:cs="Arial"/>
        </w:rPr>
        <w:t>State obligation to facilitate employment is more pertinent in the context of AI</w:t>
      </w:r>
      <w:r w:rsidR="00DC3F21">
        <w:rPr>
          <w:rFonts w:ascii="Arial" w:hAnsi="Arial" w:cs="Arial"/>
        </w:rPr>
        <w:t>.</w:t>
      </w:r>
      <w:r w:rsidR="00D24E84" w:rsidRPr="00D24E84">
        <w:t xml:space="preserve"> </w:t>
      </w:r>
      <w:r w:rsidR="00D24E84" w:rsidRPr="00D24E84">
        <w:rPr>
          <w:rFonts w:ascii="Arial" w:hAnsi="Arial" w:cs="Arial"/>
        </w:rPr>
        <w:t>AI brings both advantages and risks to the right to work in Africa – it can both create and destroy employment opportunities.</w:t>
      </w:r>
      <w:r w:rsidR="006D548C">
        <w:rPr>
          <w:rStyle w:val="FootnoteReference"/>
          <w:rFonts w:ascii="Arial" w:hAnsi="Arial" w:cs="Arial"/>
        </w:rPr>
        <w:footnoteReference w:id="69"/>
      </w:r>
    </w:p>
    <w:p w14:paraId="20C8ED24" w14:textId="256B604A" w:rsidR="003C3253" w:rsidRDefault="00C62033" w:rsidP="00B7158B">
      <w:pPr>
        <w:spacing w:line="480" w:lineRule="auto"/>
        <w:jc w:val="both"/>
        <w:rPr>
          <w:rFonts w:ascii="Arial" w:hAnsi="Arial" w:cs="Arial"/>
        </w:rPr>
      </w:pPr>
      <w:r w:rsidRPr="00C62033">
        <w:rPr>
          <w:rFonts w:ascii="Arial" w:hAnsi="Arial" w:cs="Arial"/>
        </w:rPr>
        <w:t>AI in Africa presents several significant advantages for the right to work and employment opportunities across the continent.</w:t>
      </w:r>
      <w:r w:rsidR="00D37D16">
        <w:rPr>
          <w:rStyle w:val="FootnoteReference"/>
          <w:rFonts w:ascii="Arial" w:hAnsi="Arial" w:cs="Arial"/>
        </w:rPr>
        <w:footnoteReference w:id="70"/>
      </w:r>
      <w:r w:rsidR="00D37D16" w:rsidRPr="00D37D16">
        <w:t xml:space="preserve"> </w:t>
      </w:r>
      <w:r w:rsidR="00D37D16" w:rsidRPr="00D37D16">
        <w:rPr>
          <w:rFonts w:ascii="Arial" w:hAnsi="Arial" w:cs="Arial"/>
        </w:rPr>
        <w:t>AI can catalyse job creation, particularly in emerging industries such as fintech, e-commerce, and renewable energy.</w:t>
      </w:r>
      <w:r w:rsidR="00536FCA">
        <w:rPr>
          <w:rStyle w:val="FootnoteReference"/>
          <w:rFonts w:ascii="Arial" w:hAnsi="Arial" w:cs="Arial"/>
        </w:rPr>
        <w:footnoteReference w:id="71"/>
      </w:r>
      <w:r w:rsidR="00B93B4D" w:rsidRPr="00B93B4D">
        <w:t xml:space="preserve"> </w:t>
      </w:r>
      <w:r w:rsidR="00B93B4D" w:rsidRPr="00B93B4D">
        <w:rPr>
          <w:rFonts w:ascii="Arial" w:hAnsi="Arial" w:cs="Arial"/>
        </w:rPr>
        <w:t xml:space="preserve">AI can address skill gaps in the digital economy and enhance the </w:t>
      </w:r>
      <w:r w:rsidR="00B93B4D" w:rsidRPr="00B93B4D">
        <w:rPr>
          <w:rFonts w:ascii="Arial" w:hAnsi="Arial" w:cs="Arial"/>
        </w:rPr>
        <w:lastRenderedPageBreak/>
        <w:t>employability.</w:t>
      </w:r>
      <w:r w:rsidR="00B93B4D">
        <w:rPr>
          <w:rStyle w:val="FootnoteReference"/>
          <w:rFonts w:ascii="Arial" w:hAnsi="Arial" w:cs="Arial"/>
        </w:rPr>
        <w:footnoteReference w:id="72"/>
      </w:r>
      <w:r w:rsidR="00F81350">
        <w:rPr>
          <w:rFonts w:ascii="Arial" w:hAnsi="Arial" w:cs="Arial"/>
        </w:rPr>
        <w:t xml:space="preserve"> </w:t>
      </w:r>
      <w:r w:rsidR="00F81350" w:rsidRPr="00F81350">
        <w:rPr>
          <w:rFonts w:ascii="Arial" w:hAnsi="Arial" w:cs="Arial"/>
        </w:rPr>
        <w:t xml:space="preserve">Notwithstanding the opportunities noted </w:t>
      </w:r>
      <w:r w:rsidR="00F81350">
        <w:rPr>
          <w:rFonts w:ascii="Arial" w:hAnsi="Arial" w:cs="Arial"/>
        </w:rPr>
        <w:t>in the preceding paragraphs</w:t>
      </w:r>
      <w:r w:rsidR="00F81350" w:rsidRPr="00F81350">
        <w:rPr>
          <w:rFonts w:ascii="Arial" w:hAnsi="Arial" w:cs="Arial"/>
        </w:rPr>
        <w:t>, AI presents several significant risks and challenges for the right to work.</w:t>
      </w:r>
      <w:r w:rsidR="00AC1008">
        <w:rPr>
          <w:rStyle w:val="FootnoteReference"/>
          <w:rFonts w:ascii="Arial" w:hAnsi="Arial" w:cs="Arial"/>
        </w:rPr>
        <w:footnoteReference w:id="73"/>
      </w:r>
    </w:p>
    <w:p w14:paraId="4209D8D4" w14:textId="59967151" w:rsidR="00471728" w:rsidRDefault="00471728" w:rsidP="00B7158B">
      <w:pPr>
        <w:spacing w:line="480" w:lineRule="auto"/>
        <w:jc w:val="both"/>
        <w:rPr>
          <w:rFonts w:ascii="Arial" w:hAnsi="Arial" w:cs="Arial"/>
        </w:rPr>
      </w:pPr>
      <w:r w:rsidRPr="00471728">
        <w:rPr>
          <w:rFonts w:ascii="Arial" w:hAnsi="Arial" w:cs="Arial"/>
        </w:rPr>
        <w:t>AI can disrupt traditional industries and displace workers,</w:t>
      </w:r>
      <w:r w:rsidR="00F878DD">
        <w:rPr>
          <w:rStyle w:val="FootnoteReference"/>
          <w:rFonts w:ascii="Arial" w:hAnsi="Arial" w:cs="Arial"/>
        </w:rPr>
        <w:footnoteReference w:id="74"/>
      </w:r>
      <w:r w:rsidR="00E15F53" w:rsidRPr="00E15F53">
        <w:t xml:space="preserve"> </w:t>
      </w:r>
      <w:r w:rsidR="00E15F53" w:rsidRPr="00E15F53">
        <w:rPr>
          <w:rFonts w:ascii="Arial" w:hAnsi="Arial" w:cs="Arial"/>
        </w:rPr>
        <w:t>particularly among low-skilled and unskilled workers.</w:t>
      </w:r>
      <w:r w:rsidR="007C36F5">
        <w:rPr>
          <w:rStyle w:val="FootnoteReference"/>
          <w:rFonts w:ascii="Arial" w:hAnsi="Arial" w:cs="Arial"/>
        </w:rPr>
        <w:footnoteReference w:id="75"/>
      </w:r>
      <w:r w:rsidR="00F60198" w:rsidRPr="00F60198">
        <w:t xml:space="preserve"> </w:t>
      </w:r>
      <w:r w:rsidR="00F60198" w:rsidRPr="00F60198">
        <w:rPr>
          <w:rFonts w:ascii="Arial" w:hAnsi="Arial" w:cs="Arial"/>
        </w:rPr>
        <w:t>This will exacerbate existing inequalities in the labour market, widening the gap between skilled and unskilled workers,</w:t>
      </w:r>
      <w:r w:rsidR="00A12FCC">
        <w:rPr>
          <w:rStyle w:val="FootnoteReference"/>
          <w:rFonts w:ascii="Arial" w:hAnsi="Arial" w:cs="Arial"/>
        </w:rPr>
        <w:footnoteReference w:id="76"/>
      </w:r>
      <w:r w:rsidR="00F1720A" w:rsidRPr="00F1720A">
        <w:t xml:space="preserve"> </w:t>
      </w:r>
      <w:r w:rsidR="00F1720A" w:rsidRPr="00F1720A">
        <w:rPr>
          <w:rFonts w:ascii="Arial" w:hAnsi="Arial" w:cs="Arial"/>
        </w:rPr>
        <w:t>thereby perpetuating the cycle of poverty.</w:t>
      </w:r>
      <w:r w:rsidR="00C82331">
        <w:rPr>
          <w:rStyle w:val="FootnoteReference"/>
          <w:rFonts w:ascii="Arial" w:hAnsi="Arial" w:cs="Arial"/>
        </w:rPr>
        <w:footnoteReference w:id="77"/>
      </w:r>
      <w:r w:rsidR="00121CC7" w:rsidRPr="00121CC7">
        <w:t xml:space="preserve"> </w:t>
      </w:r>
      <w:r w:rsidR="00121CC7" w:rsidRPr="00121CC7">
        <w:rPr>
          <w:rFonts w:ascii="Arial" w:hAnsi="Arial" w:cs="Arial"/>
        </w:rPr>
        <w:t>Stakeholders in this study have highlighted that AI and emerging technologies are likely to disproportionately impact disadvantaged groups, including women, people with disabilities, minorities, and indigenous communities. These groups often represent a significant portion of the workforce in roles most vulnerable to displacement by these technologies in Africa.</w:t>
      </w:r>
      <w:r w:rsidR="00413312">
        <w:rPr>
          <w:rStyle w:val="FootnoteReference"/>
          <w:rFonts w:ascii="Arial" w:hAnsi="Arial" w:cs="Arial"/>
        </w:rPr>
        <w:footnoteReference w:id="78"/>
      </w:r>
      <w:r w:rsidR="00FE0754" w:rsidRPr="00FE0754">
        <w:t xml:space="preserve"> </w:t>
      </w:r>
      <w:r w:rsidR="00FE0754" w:rsidRPr="00FE0754">
        <w:rPr>
          <w:rFonts w:ascii="Arial" w:hAnsi="Arial" w:cs="Arial"/>
        </w:rPr>
        <w:t>Finally, the increased use of AI in the workplace to monitor behaviour of employees may also violate the right to privacy of workers.</w:t>
      </w:r>
      <w:r w:rsidR="00143339">
        <w:rPr>
          <w:rStyle w:val="FootnoteReference"/>
          <w:rFonts w:ascii="Arial" w:hAnsi="Arial" w:cs="Arial"/>
        </w:rPr>
        <w:footnoteReference w:id="79"/>
      </w:r>
      <w:r w:rsidR="005E7876" w:rsidRPr="005E7876">
        <w:t xml:space="preserve"> </w:t>
      </w:r>
      <w:r w:rsidR="005E7876">
        <w:t>F</w:t>
      </w:r>
      <w:r w:rsidR="005E7876" w:rsidRPr="005E7876">
        <w:rPr>
          <w:rFonts w:ascii="Arial" w:hAnsi="Arial" w:cs="Arial"/>
        </w:rPr>
        <w:t>urther, since AI development is still largely concentrated in the hands of multinational corporations, there is a real risk of continued exploitation of African</w:t>
      </w:r>
      <w:r w:rsidR="007F38BA">
        <w:rPr>
          <w:rFonts w:ascii="Arial" w:hAnsi="Arial" w:cs="Arial"/>
        </w:rPr>
        <w:t xml:space="preserve"> </w:t>
      </w:r>
      <w:r w:rsidR="007F38BA" w:rsidRPr="007F38BA">
        <w:rPr>
          <w:rFonts w:ascii="Arial" w:hAnsi="Arial" w:cs="Arial"/>
        </w:rPr>
        <w:t>peoples in the work place.</w:t>
      </w:r>
      <w:r w:rsidR="007F38BA">
        <w:rPr>
          <w:rStyle w:val="FootnoteReference"/>
          <w:rFonts w:ascii="Arial" w:hAnsi="Arial" w:cs="Arial"/>
        </w:rPr>
        <w:footnoteReference w:id="80"/>
      </w:r>
      <w:r w:rsidR="00582E56" w:rsidRPr="00582E56">
        <w:t xml:space="preserve"> </w:t>
      </w:r>
      <w:r w:rsidR="00582E56" w:rsidRPr="00582E56">
        <w:rPr>
          <w:rFonts w:ascii="Arial" w:hAnsi="Arial" w:cs="Arial"/>
        </w:rPr>
        <w:t>Stakeholders have thus noted that AI can also be enablers of contemporary forms of slavery.</w:t>
      </w:r>
      <w:r w:rsidR="00ED027B">
        <w:rPr>
          <w:rStyle w:val="FootnoteReference"/>
          <w:rFonts w:ascii="Arial" w:hAnsi="Arial" w:cs="Arial"/>
        </w:rPr>
        <w:footnoteReference w:id="81"/>
      </w:r>
    </w:p>
    <w:p w14:paraId="3F20190E" w14:textId="5E8F981B" w:rsidR="001A4B28" w:rsidRPr="00A370DF" w:rsidRDefault="001A4B28" w:rsidP="00B7158B">
      <w:pPr>
        <w:pStyle w:val="ListParagraph"/>
        <w:numPr>
          <w:ilvl w:val="0"/>
          <w:numId w:val="2"/>
        </w:numPr>
        <w:spacing w:line="480" w:lineRule="auto"/>
        <w:rPr>
          <w:rFonts w:ascii="Arial" w:hAnsi="Arial" w:cs="Arial"/>
          <w:b/>
          <w:bCs/>
          <w:u w:val="single"/>
        </w:rPr>
      </w:pPr>
      <w:r w:rsidRPr="00A370DF">
        <w:rPr>
          <w:rFonts w:ascii="Arial" w:hAnsi="Arial" w:cs="Arial"/>
          <w:b/>
          <w:bCs/>
          <w:u w:val="single"/>
        </w:rPr>
        <w:lastRenderedPageBreak/>
        <w:t>AI and the Right to Education</w:t>
      </w:r>
    </w:p>
    <w:p w14:paraId="5A7C3B2A" w14:textId="0C11CF5C" w:rsidR="00D91AFF" w:rsidRDefault="00F740A8" w:rsidP="00B7158B">
      <w:pPr>
        <w:spacing w:line="480" w:lineRule="auto"/>
        <w:jc w:val="both"/>
        <w:rPr>
          <w:rFonts w:ascii="Arial" w:hAnsi="Arial" w:cs="Arial"/>
        </w:rPr>
      </w:pPr>
      <w:r w:rsidRPr="00F740A8">
        <w:rPr>
          <w:rFonts w:ascii="Arial" w:hAnsi="Arial" w:cs="Arial"/>
        </w:rPr>
        <w:t>The African Charter provides for the right to education</w:t>
      </w:r>
      <w:r w:rsidR="00FB3BB6">
        <w:rPr>
          <w:rStyle w:val="FootnoteReference"/>
          <w:rFonts w:ascii="Arial" w:hAnsi="Arial" w:cs="Arial"/>
        </w:rPr>
        <w:footnoteReference w:id="82"/>
      </w:r>
      <w:r w:rsidR="00F24653" w:rsidRPr="00F24653">
        <w:rPr>
          <w:rFonts w:ascii="Arial" w:hAnsi="Arial" w:cs="Arial"/>
        </w:rPr>
        <w:t>which is linked to right to freedom of culture</w:t>
      </w:r>
      <w:r w:rsidR="00F24653">
        <w:rPr>
          <w:rStyle w:val="FootnoteReference"/>
          <w:rFonts w:ascii="Arial" w:hAnsi="Arial" w:cs="Arial"/>
        </w:rPr>
        <w:footnoteReference w:id="83"/>
      </w:r>
      <w:r w:rsidR="004D285F" w:rsidRPr="004D285F">
        <w:rPr>
          <w:rFonts w:ascii="Arial" w:hAnsi="Arial" w:cs="Arial"/>
        </w:rPr>
        <w:t>and protection of African values.</w:t>
      </w:r>
      <w:r w:rsidR="00DA366C">
        <w:rPr>
          <w:rStyle w:val="FootnoteReference"/>
          <w:rFonts w:ascii="Arial" w:hAnsi="Arial" w:cs="Arial"/>
        </w:rPr>
        <w:footnoteReference w:id="84"/>
      </w:r>
      <w:r w:rsidR="00771B40" w:rsidRPr="00771B40">
        <w:t xml:space="preserve"> </w:t>
      </w:r>
      <w:r w:rsidR="00771B40" w:rsidRPr="00771B40">
        <w:rPr>
          <w:rFonts w:ascii="Arial" w:hAnsi="Arial" w:cs="Arial"/>
        </w:rPr>
        <w:t>Thus, the impact of AI on the right to education must be examined in the context of African values and cultural context.</w:t>
      </w:r>
      <w:r w:rsidR="00771B40">
        <w:rPr>
          <w:rStyle w:val="FootnoteReference"/>
          <w:rFonts w:ascii="Arial" w:hAnsi="Arial" w:cs="Arial"/>
        </w:rPr>
        <w:footnoteReference w:id="85"/>
      </w:r>
      <w:r w:rsidR="00781393" w:rsidRPr="00781393">
        <w:t xml:space="preserve"> </w:t>
      </w:r>
      <w:r w:rsidR="00781393" w:rsidRPr="00781393">
        <w:rPr>
          <w:rFonts w:ascii="Arial" w:hAnsi="Arial" w:cs="Arial"/>
        </w:rPr>
        <w:t>The African Commission has emphasised the importance of the right to education in Africa.</w:t>
      </w:r>
      <w:r w:rsidR="00570AAF">
        <w:rPr>
          <w:rStyle w:val="FootnoteReference"/>
          <w:rFonts w:ascii="Arial" w:hAnsi="Arial" w:cs="Arial"/>
        </w:rPr>
        <w:footnoteReference w:id="86"/>
      </w:r>
    </w:p>
    <w:p w14:paraId="7D057C30" w14:textId="12C44FC3" w:rsidR="001449DA" w:rsidRDefault="001449DA" w:rsidP="00B7158B">
      <w:pPr>
        <w:spacing w:line="480" w:lineRule="auto"/>
        <w:jc w:val="both"/>
        <w:rPr>
          <w:rFonts w:ascii="Arial" w:hAnsi="Arial" w:cs="Arial"/>
        </w:rPr>
      </w:pPr>
      <w:r w:rsidRPr="001449DA">
        <w:rPr>
          <w:rFonts w:ascii="Arial" w:hAnsi="Arial" w:cs="Arial"/>
        </w:rPr>
        <w:t>The African Union has identified science and education as part of its priorities and emphasises the need for African states to invest not only in AI and emerging technologies but also AI and digital literacy for Africans.</w:t>
      </w:r>
      <w:r w:rsidR="008F6A6F">
        <w:rPr>
          <w:rStyle w:val="FootnoteReference"/>
          <w:rFonts w:ascii="Arial" w:hAnsi="Arial" w:cs="Arial"/>
        </w:rPr>
        <w:footnoteReference w:id="87"/>
      </w:r>
      <w:r w:rsidR="00D64A8D" w:rsidRPr="00D64A8D">
        <w:t xml:space="preserve"> </w:t>
      </w:r>
      <w:r w:rsidR="00D64A8D" w:rsidRPr="00D64A8D">
        <w:rPr>
          <w:rFonts w:ascii="Arial" w:hAnsi="Arial" w:cs="Arial"/>
        </w:rPr>
        <w:t>There is also a growing recognition of the need to integrate AI concepts and skills into existing educational curricula</w:t>
      </w:r>
      <w:r w:rsidR="00D64A8D">
        <w:rPr>
          <w:rFonts w:ascii="Arial" w:hAnsi="Arial" w:cs="Arial"/>
        </w:rPr>
        <w:t>.</w:t>
      </w:r>
      <w:r w:rsidR="0021152C">
        <w:rPr>
          <w:rStyle w:val="FootnoteReference"/>
          <w:rFonts w:ascii="Arial" w:hAnsi="Arial" w:cs="Arial"/>
        </w:rPr>
        <w:footnoteReference w:id="88"/>
      </w:r>
      <w:r w:rsidR="00524493" w:rsidRPr="00524493">
        <w:t xml:space="preserve"> </w:t>
      </w:r>
      <w:r w:rsidR="00524493" w:rsidRPr="00524493">
        <w:rPr>
          <w:rFonts w:ascii="Arial" w:hAnsi="Arial" w:cs="Arial"/>
        </w:rPr>
        <w:t>Numerous African</w:t>
      </w:r>
      <w:r w:rsidR="00524493">
        <w:rPr>
          <w:rFonts w:ascii="Arial" w:hAnsi="Arial" w:cs="Arial"/>
        </w:rPr>
        <w:t xml:space="preserve"> </w:t>
      </w:r>
      <w:r w:rsidR="00524493" w:rsidRPr="00524493">
        <w:rPr>
          <w:rFonts w:ascii="Arial" w:hAnsi="Arial" w:cs="Arial"/>
        </w:rPr>
        <w:t>nations such as Kenya, Nigeria, South Africa, Tunisia, Zimbabwe etc. are already integrating AI into their educational systems.</w:t>
      </w:r>
      <w:r w:rsidR="00D1734D">
        <w:rPr>
          <w:rStyle w:val="FootnoteReference"/>
          <w:rFonts w:ascii="Arial" w:hAnsi="Arial" w:cs="Arial"/>
        </w:rPr>
        <w:footnoteReference w:id="89"/>
      </w:r>
    </w:p>
    <w:p w14:paraId="734A567A" w14:textId="4C2A4343" w:rsidR="007634A8" w:rsidRDefault="007634A8" w:rsidP="00B7158B">
      <w:pPr>
        <w:spacing w:line="480" w:lineRule="auto"/>
        <w:jc w:val="both"/>
        <w:rPr>
          <w:rFonts w:ascii="Arial" w:hAnsi="Arial" w:cs="Arial"/>
        </w:rPr>
      </w:pPr>
      <w:r w:rsidRPr="007634A8">
        <w:rPr>
          <w:rFonts w:ascii="Arial" w:hAnsi="Arial" w:cs="Arial"/>
        </w:rPr>
        <w:t xml:space="preserve">In considering the implications of AI on the right to education, AI must be conceptualised in two main ways: First, AI should be conceptualised as a tool through which learners access education. When AI is conceptualised as a tool to access the </w:t>
      </w:r>
      <w:r w:rsidRPr="007634A8">
        <w:rPr>
          <w:rFonts w:ascii="Arial" w:hAnsi="Arial" w:cs="Arial"/>
        </w:rPr>
        <w:lastRenderedPageBreak/>
        <w:t>right to education, then state obligations include state investment in AI education in secondary and tertiary schooling systems</w:t>
      </w:r>
      <w:r>
        <w:rPr>
          <w:rFonts w:ascii="Arial" w:hAnsi="Arial" w:cs="Arial"/>
        </w:rPr>
        <w:t>.</w:t>
      </w:r>
      <w:r w:rsidR="002E576C">
        <w:rPr>
          <w:rStyle w:val="FootnoteReference"/>
          <w:rFonts w:ascii="Arial" w:hAnsi="Arial" w:cs="Arial"/>
        </w:rPr>
        <w:footnoteReference w:id="90"/>
      </w:r>
      <w:r w:rsidR="00A242DD" w:rsidRPr="00A242DD">
        <w:t xml:space="preserve"> </w:t>
      </w:r>
      <w:r w:rsidR="00A242DD" w:rsidRPr="00A242DD">
        <w:rPr>
          <w:rFonts w:ascii="Arial" w:hAnsi="Arial" w:cs="Arial"/>
        </w:rPr>
        <w:t>Second, AI should be conceptualised as a critical subject of study that must be realised under the right to education. When AI is conceptualised as a critical subject of study under the right to education, part of obligations is to include AI education in the curricular and state institutions aimed at AI and digital literacy.</w:t>
      </w:r>
      <w:r w:rsidR="00E15F3D">
        <w:rPr>
          <w:rStyle w:val="FootnoteReference"/>
          <w:rFonts w:ascii="Arial" w:hAnsi="Arial" w:cs="Arial"/>
        </w:rPr>
        <w:footnoteReference w:id="91"/>
      </w:r>
      <w:r w:rsidR="00FB6E67" w:rsidRPr="00FB6E67">
        <w:t xml:space="preserve"> </w:t>
      </w:r>
      <w:r w:rsidR="00FB6E67" w:rsidRPr="00FB6E67">
        <w:rPr>
          <w:rFonts w:ascii="Arial" w:hAnsi="Arial" w:cs="Arial"/>
        </w:rPr>
        <w:t>Second, AI should be conceptualised as a critical subject of study that must be realised under the right to education. When AI is conceptualised as a critical subject of study under the right to education, part of obligations is to include AI education in the curricular and state institutions aimed at AI and digital literacy.</w:t>
      </w:r>
      <w:r w:rsidR="00D50978">
        <w:rPr>
          <w:rStyle w:val="FootnoteReference"/>
          <w:rFonts w:ascii="Arial" w:hAnsi="Arial" w:cs="Arial"/>
        </w:rPr>
        <w:footnoteReference w:id="92"/>
      </w:r>
      <w:r w:rsidR="00683CDE" w:rsidRPr="00683CDE">
        <w:t xml:space="preserve"> </w:t>
      </w:r>
      <w:r w:rsidR="00683CDE" w:rsidRPr="00683CDE">
        <w:rPr>
          <w:rFonts w:ascii="Arial" w:hAnsi="Arial" w:cs="Arial"/>
        </w:rPr>
        <w:t>In this regard, AI education is not only for schools and universities but for all citizens.</w:t>
      </w:r>
      <w:r w:rsidR="00A528D9">
        <w:rPr>
          <w:rStyle w:val="FootnoteReference"/>
          <w:rFonts w:ascii="Arial" w:hAnsi="Arial" w:cs="Arial"/>
        </w:rPr>
        <w:footnoteReference w:id="93"/>
      </w:r>
    </w:p>
    <w:p w14:paraId="75510B7E" w14:textId="539970E3" w:rsidR="00F807E3" w:rsidRDefault="00F3650E" w:rsidP="00B7158B">
      <w:pPr>
        <w:spacing w:line="480" w:lineRule="auto"/>
        <w:jc w:val="both"/>
        <w:rPr>
          <w:rFonts w:ascii="Arial" w:hAnsi="Arial" w:cs="Arial"/>
        </w:rPr>
      </w:pPr>
      <w:r w:rsidRPr="00F3650E">
        <w:rPr>
          <w:rFonts w:ascii="Arial" w:hAnsi="Arial" w:cs="Arial"/>
        </w:rPr>
        <w:t>AI stands to revolutionise education by tailoring learning experiences, offering real-time feedback, and facilitating personalised learning paths</w:t>
      </w:r>
      <w:r w:rsidR="00117A83">
        <w:rPr>
          <w:rFonts w:ascii="Arial" w:hAnsi="Arial" w:cs="Arial"/>
        </w:rPr>
        <w:t>.</w:t>
      </w:r>
      <w:r w:rsidR="00117A83">
        <w:rPr>
          <w:rStyle w:val="FootnoteReference"/>
          <w:rFonts w:ascii="Arial" w:hAnsi="Arial" w:cs="Arial"/>
        </w:rPr>
        <w:footnoteReference w:id="94"/>
      </w:r>
      <w:r w:rsidR="00EB5519" w:rsidRPr="00EB5519">
        <w:t xml:space="preserve"> </w:t>
      </w:r>
      <w:r w:rsidR="00EB5519" w:rsidRPr="00EB5519">
        <w:rPr>
          <w:rFonts w:ascii="Arial" w:hAnsi="Arial" w:cs="Arial"/>
        </w:rPr>
        <w:t>Through AI-powered tools and platforms, learners can access high-quality educational resources which is critical for their</w:t>
      </w:r>
      <w:r w:rsidR="00EB5519">
        <w:rPr>
          <w:rFonts w:ascii="Arial" w:hAnsi="Arial" w:cs="Arial"/>
        </w:rPr>
        <w:t xml:space="preserve"> </w:t>
      </w:r>
      <w:r w:rsidR="00EB5519" w:rsidRPr="00EB5519">
        <w:rPr>
          <w:rFonts w:ascii="Arial" w:hAnsi="Arial" w:cs="Arial"/>
        </w:rPr>
        <w:t>research.</w:t>
      </w:r>
      <w:r w:rsidR="00395619">
        <w:rPr>
          <w:rStyle w:val="FootnoteReference"/>
          <w:rFonts w:ascii="Arial" w:hAnsi="Arial" w:cs="Arial"/>
        </w:rPr>
        <w:footnoteReference w:id="95"/>
      </w:r>
      <w:r w:rsidR="001A00C6" w:rsidRPr="001A00C6">
        <w:t xml:space="preserve"> </w:t>
      </w:r>
      <w:r w:rsidR="001A00C6" w:rsidRPr="001A00C6">
        <w:rPr>
          <w:rFonts w:ascii="Arial" w:hAnsi="Arial" w:cs="Arial"/>
        </w:rPr>
        <w:t>AI applications can streamline instruction, assessment, management, and enhance accessibility for learners.</w:t>
      </w:r>
      <w:r w:rsidR="002306A0">
        <w:rPr>
          <w:rStyle w:val="FootnoteReference"/>
          <w:rFonts w:ascii="Arial" w:hAnsi="Arial" w:cs="Arial"/>
        </w:rPr>
        <w:footnoteReference w:id="96"/>
      </w:r>
      <w:r w:rsidR="009F0C4C" w:rsidRPr="009F0C4C">
        <w:t xml:space="preserve"> </w:t>
      </w:r>
      <w:r w:rsidR="009F0C4C" w:rsidRPr="009F0C4C">
        <w:rPr>
          <w:rFonts w:ascii="Arial" w:hAnsi="Arial" w:cs="Arial"/>
        </w:rPr>
        <w:t>For example, the Intelligent Tutoring Systems delivers tailored pedagogical assistance and feedback to students.</w:t>
      </w:r>
      <w:r w:rsidR="005D7F7D">
        <w:rPr>
          <w:rStyle w:val="FootnoteReference"/>
          <w:rFonts w:ascii="Arial" w:hAnsi="Arial" w:cs="Arial"/>
        </w:rPr>
        <w:footnoteReference w:id="97"/>
      </w:r>
      <w:r w:rsidR="00971AD4">
        <w:rPr>
          <w:rFonts w:ascii="Arial" w:hAnsi="Arial" w:cs="Arial"/>
        </w:rPr>
        <w:t xml:space="preserve"> </w:t>
      </w:r>
      <w:r w:rsidR="00971AD4" w:rsidRPr="00971AD4">
        <w:rPr>
          <w:rFonts w:ascii="Arial" w:hAnsi="Arial" w:cs="Arial"/>
        </w:rPr>
        <w:lastRenderedPageBreak/>
        <w:t>AI essay scoring engines alleviate faculty workloads and reduce costs for educational institutions.</w:t>
      </w:r>
      <w:r w:rsidR="007C1533">
        <w:rPr>
          <w:rStyle w:val="FootnoteReference"/>
          <w:rFonts w:ascii="Arial" w:hAnsi="Arial" w:cs="Arial"/>
        </w:rPr>
        <w:footnoteReference w:id="98"/>
      </w:r>
      <w:r w:rsidR="004F3869">
        <w:rPr>
          <w:rFonts w:ascii="Arial" w:hAnsi="Arial" w:cs="Arial"/>
        </w:rPr>
        <w:t xml:space="preserve"> </w:t>
      </w:r>
      <w:r w:rsidR="004F3869" w:rsidRPr="004F3869">
        <w:rPr>
          <w:rFonts w:ascii="Arial" w:hAnsi="Arial" w:cs="Arial"/>
        </w:rPr>
        <w:t>Automated tutors and e-learning platforms can also mitigate staff shortages.</w:t>
      </w:r>
      <w:r w:rsidR="004F3869">
        <w:rPr>
          <w:rStyle w:val="FootnoteReference"/>
          <w:rFonts w:ascii="Arial" w:hAnsi="Arial" w:cs="Arial"/>
        </w:rPr>
        <w:footnoteReference w:id="99"/>
      </w:r>
      <w:r w:rsidR="008A515F" w:rsidRPr="008A515F">
        <w:t xml:space="preserve"> </w:t>
      </w:r>
      <w:r w:rsidR="008A515F" w:rsidRPr="008A515F">
        <w:rPr>
          <w:rFonts w:ascii="Arial" w:hAnsi="Arial" w:cs="Arial"/>
        </w:rPr>
        <w:t>There are also AI applications tailored specifically for students with disabilities.</w:t>
      </w:r>
      <w:r w:rsidR="009A10CA">
        <w:rPr>
          <w:rStyle w:val="FootnoteReference"/>
          <w:rFonts w:ascii="Arial" w:hAnsi="Arial" w:cs="Arial"/>
        </w:rPr>
        <w:footnoteReference w:id="100"/>
      </w:r>
      <w:r w:rsidR="00B12830" w:rsidRPr="00B12830">
        <w:t xml:space="preserve"> </w:t>
      </w:r>
      <w:r w:rsidR="00B12830" w:rsidRPr="00B12830">
        <w:rPr>
          <w:rFonts w:ascii="Arial" w:hAnsi="Arial" w:cs="Arial"/>
        </w:rPr>
        <w:t>AI applications can also advise students on employability issues.</w:t>
      </w:r>
      <w:r w:rsidR="00B44FD4">
        <w:rPr>
          <w:rStyle w:val="FootnoteReference"/>
          <w:rFonts w:ascii="Arial" w:hAnsi="Arial" w:cs="Arial"/>
        </w:rPr>
        <w:footnoteReference w:id="101"/>
      </w:r>
      <w:r w:rsidR="00A9126D">
        <w:rPr>
          <w:rFonts w:ascii="Arial" w:hAnsi="Arial" w:cs="Arial"/>
        </w:rPr>
        <w:t xml:space="preserve"> </w:t>
      </w:r>
      <w:r w:rsidR="00A9126D" w:rsidRPr="00A9126D">
        <w:rPr>
          <w:rFonts w:ascii="Arial" w:hAnsi="Arial" w:cs="Arial"/>
        </w:rPr>
        <w:t>For educational administrators, AI analytics tools help track student retention and academic success rates to inform interventions and resource allocation.</w:t>
      </w:r>
    </w:p>
    <w:p w14:paraId="6C476BFA" w14:textId="1677E894" w:rsidR="00A9126D" w:rsidRDefault="00A9126D" w:rsidP="00B7158B">
      <w:pPr>
        <w:spacing w:line="480" w:lineRule="auto"/>
        <w:jc w:val="both"/>
        <w:rPr>
          <w:rFonts w:ascii="Arial" w:hAnsi="Arial" w:cs="Arial"/>
        </w:rPr>
      </w:pPr>
      <w:r>
        <w:rPr>
          <w:rFonts w:ascii="Arial" w:hAnsi="Arial" w:cs="Arial"/>
        </w:rPr>
        <w:t xml:space="preserve">On the other side of the coin, there are </w:t>
      </w:r>
      <w:r w:rsidR="00014A0F">
        <w:rPr>
          <w:rFonts w:ascii="Arial" w:hAnsi="Arial" w:cs="Arial"/>
        </w:rPr>
        <w:t xml:space="preserve">several risks that AI presents to the right to education in Africa. Firstly, </w:t>
      </w:r>
      <w:r w:rsidR="00014A0F" w:rsidRPr="00014A0F">
        <w:rPr>
          <w:rFonts w:ascii="Arial" w:hAnsi="Arial" w:cs="Arial"/>
        </w:rPr>
        <w:t>Overreliance on AI tools like ChatGPT pose serious risk to critical thinking which is at the core of education.</w:t>
      </w:r>
      <w:r w:rsidR="007E1318">
        <w:rPr>
          <w:rStyle w:val="FootnoteReference"/>
          <w:rFonts w:ascii="Arial" w:hAnsi="Arial" w:cs="Arial"/>
        </w:rPr>
        <w:footnoteReference w:id="102"/>
      </w:r>
      <w:r w:rsidR="00C03145" w:rsidRPr="00C03145">
        <w:t xml:space="preserve"> </w:t>
      </w:r>
      <w:r w:rsidR="00C03145" w:rsidRPr="00C03145">
        <w:rPr>
          <w:rFonts w:ascii="Arial" w:hAnsi="Arial" w:cs="Arial"/>
        </w:rPr>
        <w:t>Some AI applications adopted in education were not originally designed with the purpose of enhancing learning: “there is no better example than current generative AI that showcases that these big corporations will produce AI and will put it out there, and they will force it onto the population until it becomes the norm. There is no specific purpose, there is no specific use case for generative AI. It’s just been a technology</w:t>
      </w:r>
      <w:r w:rsidR="008668AD">
        <w:rPr>
          <w:rFonts w:ascii="Arial" w:hAnsi="Arial" w:cs="Arial"/>
        </w:rPr>
        <w:t xml:space="preserve"> </w:t>
      </w:r>
      <w:r w:rsidR="008668AD" w:rsidRPr="008668AD">
        <w:rPr>
          <w:rFonts w:ascii="Arial" w:hAnsi="Arial" w:cs="Arial"/>
        </w:rPr>
        <w:t>over the past couple of years that’s just floating around looking for purpose, looking for some kind of uptake.”</w:t>
      </w:r>
      <w:r w:rsidR="00B3562A">
        <w:rPr>
          <w:rStyle w:val="FootnoteReference"/>
          <w:rFonts w:ascii="Arial" w:hAnsi="Arial" w:cs="Arial"/>
        </w:rPr>
        <w:footnoteReference w:id="103"/>
      </w:r>
      <w:r w:rsidR="001C42E5" w:rsidRPr="001C42E5">
        <w:t xml:space="preserve"> </w:t>
      </w:r>
      <w:r w:rsidR="001C42E5" w:rsidRPr="001C42E5">
        <w:rPr>
          <w:rFonts w:ascii="Arial" w:hAnsi="Arial" w:cs="Arial"/>
        </w:rPr>
        <w:t xml:space="preserve">Stakeholders have highlighted that these AI applications in education risk undermining </w:t>
      </w:r>
      <w:r w:rsidR="001C42E5" w:rsidRPr="001C42E5">
        <w:rPr>
          <w:rFonts w:ascii="Arial" w:hAnsi="Arial" w:cs="Arial"/>
        </w:rPr>
        <w:lastRenderedPageBreak/>
        <w:t>learners' independence of thought, erasing the originality of ideas, compromising academic freedom, and ultimately jeopardising academic integrity.</w:t>
      </w:r>
      <w:r w:rsidR="009645EB">
        <w:rPr>
          <w:rStyle w:val="FootnoteReference"/>
          <w:rFonts w:ascii="Arial" w:hAnsi="Arial" w:cs="Arial"/>
        </w:rPr>
        <w:footnoteReference w:id="104"/>
      </w:r>
    </w:p>
    <w:p w14:paraId="70D36D6D" w14:textId="58DC6528" w:rsidR="005A1BD8" w:rsidRDefault="005A1BD8" w:rsidP="00B7158B">
      <w:pPr>
        <w:spacing w:line="480" w:lineRule="auto"/>
        <w:jc w:val="both"/>
        <w:rPr>
          <w:rFonts w:ascii="Arial" w:hAnsi="Arial" w:cs="Arial"/>
        </w:rPr>
      </w:pPr>
      <w:r>
        <w:rPr>
          <w:rFonts w:ascii="Arial" w:hAnsi="Arial" w:cs="Arial"/>
        </w:rPr>
        <w:t xml:space="preserve">Secondly, </w:t>
      </w:r>
      <w:r w:rsidRPr="005A1BD8">
        <w:rPr>
          <w:rFonts w:ascii="Arial" w:hAnsi="Arial" w:cs="Arial"/>
        </w:rPr>
        <w:t>over-reliance on data-driven automation in education risks stripping away its humanity, undermining cultures, values, and creativity essential for developing identity, emotional intelligence, communication skills, and character—core elements of quality education in terms of the African Charter.</w:t>
      </w:r>
      <w:r w:rsidR="00C9378A">
        <w:rPr>
          <w:rStyle w:val="FootnoteReference"/>
          <w:rFonts w:ascii="Arial" w:hAnsi="Arial" w:cs="Arial"/>
        </w:rPr>
        <w:footnoteReference w:id="105"/>
      </w:r>
    </w:p>
    <w:p w14:paraId="2A34B03C" w14:textId="11748BD0" w:rsidR="004C1E60" w:rsidRDefault="004C1E60" w:rsidP="00B7158B">
      <w:pPr>
        <w:spacing w:line="480" w:lineRule="auto"/>
        <w:jc w:val="both"/>
        <w:rPr>
          <w:rFonts w:ascii="Arial" w:hAnsi="Arial" w:cs="Arial"/>
        </w:rPr>
      </w:pPr>
      <w:r>
        <w:rPr>
          <w:rFonts w:ascii="Arial" w:hAnsi="Arial" w:cs="Arial"/>
        </w:rPr>
        <w:t xml:space="preserve">Thirdly, </w:t>
      </w:r>
      <w:r w:rsidRPr="004C1E60">
        <w:rPr>
          <w:rFonts w:ascii="Arial" w:hAnsi="Arial" w:cs="Arial"/>
        </w:rPr>
        <w:t>Over-depend</w:t>
      </w:r>
      <w:r>
        <w:rPr>
          <w:rFonts w:ascii="Arial" w:hAnsi="Arial" w:cs="Arial"/>
        </w:rPr>
        <w:t>e</w:t>
      </w:r>
      <w:r w:rsidRPr="004C1E60">
        <w:rPr>
          <w:rFonts w:ascii="Arial" w:hAnsi="Arial" w:cs="Arial"/>
        </w:rPr>
        <w:t>nce on AI in education can also undermine diversity by limiting opportunities for student engagement and collaboration, which are vital for cultural participation.</w:t>
      </w:r>
      <w:r w:rsidR="00437939">
        <w:rPr>
          <w:rStyle w:val="FootnoteReference"/>
          <w:rFonts w:ascii="Arial" w:hAnsi="Arial" w:cs="Arial"/>
        </w:rPr>
        <w:footnoteReference w:id="106"/>
      </w:r>
      <w:r w:rsidR="00195B8B" w:rsidRPr="00195B8B">
        <w:t xml:space="preserve"> </w:t>
      </w:r>
      <w:r w:rsidR="00195B8B" w:rsidRPr="00195B8B">
        <w:rPr>
          <w:rFonts w:ascii="Arial" w:hAnsi="Arial" w:cs="Arial"/>
        </w:rPr>
        <w:t>In Africa, where oral traditions, storytelling, music, dance, and communal learning are integral, AI in education must be culturally relevant, addressing local needs while preserving languages and the continent’s diverse heritage.</w:t>
      </w:r>
      <w:r w:rsidR="00195B8B">
        <w:rPr>
          <w:rStyle w:val="FootnoteReference"/>
          <w:rFonts w:ascii="Arial" w:hAnsi="Arial" w:cs="Arial"/>
        </w:rPr>
        <w:footnoteReference w:id="107"/>
      </w:r>
      <w:r w:rsidR="002C41EC" w:rsidRPr="002C41EC">
        <w:t xml:space="preserve"> </w:t>
      </w:r>
      <w:r w:rsidR="002C41EC" w:rsidRPr="002C41EC">
        <w:rPr>
          <w:rFonts w:ascii="Arial" w:hAnsi="Arial" w:cs="Arial"/>
        </w:rPr>
        <w:t>There are also key concerns surrounding regarding access to AI in education for many African leaners.</w:t>
      </w:r>
      <w:r w:rsidR="00770C5F">
        <w:rPr>
          <w:rStyle w:val="FootnoteReference"/>
          <w:rFonts w:ascii="Arial" w:hAnsi="Arial" w:cs="Arial"/>
        </w:rPr>
        <w:footnoteReference w:id="108"/>
      </w:r>
      <w:r w:rsidR="00CD5B09" w:rsidRPr="00CD5B09">
        <w:t xml:space="preserve"> </w:t>
      </w:r>
      <w:r w:rsidR="00CD5B09" w:rsidRPr="00CD5B09">
        <w:rPr>
          <w:rFonts w:ascii="Arial" w:hAnsi="Arial" w:cs="Arial"/>
        </w:rPr>
        <w:t xml:space="preserve">Many African learners face significant barriers to fully benefiting from AI driven education due to disparities in infrastructure, electricity access, digital </w:t>
      </w:r>
      <w:r w:rsidR="00CD5B09" w:rsidRPr="00CD5B09">
        <w:rPr>
          <w:rFonts w:ascii="Arial" w:hAnsi="Arial" w:cs="Arial"/>
        </w:rPr>
        <w:lastRenderedPageBreak/>
        <w:t>literacy, and</w:t>
      </w:r>
      <w:r w:rsidR="00256427">
        <w:rPr>
          <w:rFonts w:ascii="Arial" w:hAnsi="Arial" w:cs="Arial"/>
        </w:rPr>
        <w:t xml:space="preserve"> </w:t>
      </w:r>
      <w:r w:rsidR="00256427" w:rsidRPr="00256427">
        <w:rPr>
          <w:rFonts w:ascii="Arial" w:hAnsi="Arial" w:cs="Arial"/>
        </w:rPr>
        <w:t>resource availability.</w:t>
      </w:r>
      <w:r w:rsidR="00256427">
        <w:rPr>
          <w:rStyle w:val="FootnoteReference"/>
          <w:rFonts w:ascii="Arial" w:hAnsi="Arial" w:cs="Arial"/>
        </w:rPr>
        <w:footnoteReference w:id="109"/>
      </w:r>
      <w:r w:rsidR="00FE0A48" w:rsidRPr="00FE0A48">
        <w:t xml:space="preserve"> </w:t>
      </w:r>
      <w:r w:rsidR="00FE0A48" w:rsidRPr="00FE0A48">
        <w:rPr>
          <w:rFonts w:ascii="Arial" w:hAnsi="Arial" w:cs="Arial"/>
        </w:rPr>
        <w:t>Other learners also face discrimination based on gender, race and other social status.</w:t>
      </w:r>
      <w:r w:rsidR="00066283">
        <w:rPr>
          <w:rStyle w:val="FootnoteReference"/>
          <w:rFonts w:ascii="Arial" w:hAnsi="Arial" w:cs="Arial"/>
        </w:rPr>
        <w:footnoteReference w:id="110"/>
      </w:r>
    </w:p>
    <w:p w14:paraId="2A797447" w14:textId="58D8EA7F" w:rsidR="00023C64" w:rsidRDefault="00023C64" w:rsidP="00B7158B">
      <w:pPr>
        <w:spacing w:line="480" w:lineRule="auto"/>
        <w:rPr>
          <w:rFonts w:ascii="Arial" w:hAnsi="Arial" w:cs="Arial"/>
        </w:rPr>
      </w:pPr>
      <w:r w:rsidRPr="00023C64">
        <w:rPr>
          <w:rFonts w:ascii="Arial" w:hAnsi="Arial" w:cs="Arial"/>
        </w:rPr>
        <w:t>For instance, some AI tutors have discouraged girls from pursuing STEM subjects, while AI scoring systems have demonstrated cultural biases, perpetuated racial stereotypes, and relied on non-representative data.</w:t>
      </w:r>
      <w:r w:rsidR="00860CB9">
        <w:rPr>
          <w:rStyle w:val="FootnoteReference"/>
          <w:rFonts w:ascii="Arial" w:hAnsi="Arial" w:cs="Arial"/>
        </w:rPr>
        <w:footnoteReference w:id="111"/>
      </w:r>
      <w:r w:rsidR="009D7B43" w:rsidRPr="009D7B43">
        <w:t xml:space="preserve"> </w:t>
      </w:r>
      <w:r w:rsidR="009D7B43" w:rsidRPr="009D7B43">
        <w:rPr>
          <w:rFonts w:ascii="Arial" w:hAnsi="Arial" w:cs="Arial"/>
        </w:rPr>
        <w:t>Stakeholders have also noted the challenge of surveillance, profiling, and student data extraction without consent in violation of privacy rights and principles of equity.</w:t>
      </w:r>
      <w:r w:rsidR="009F4149">
        <w:rPr>
          <w:rStyle w:val="FootnoteReference"/>
          <w:rFonts w:ascii="Arial" w:hAnsi="Arial" w:cs="Arial"/>
        </w:rPr>
        <w:footnoteReference w:id="112"/>
      </w:r>
    </w:p>
    <w:p w14:paraId="50B67A85" w14:textId="22E0C9F9" w:rsidR="00DC6D7E" w:rsidRPr="00EF0C51" w:rsidRDefault="000D334F" w:rsidP="00B7158B">
      <w:pPr>
        <w:spacing w:line="480" w:lineRule="auto"/>
        <w:jc w:val="center"/>
        <w:rPr>
          <w:rFonts w:ascii="Arial" w:hAnsi="Arial" w:cs="Arial"/>
          <w:b/>
          <w:bCs/>
        </w:rPr>
      </w:pPr>
      <w:r w:rsidRPr="00EF0C51">
        <w:rPr>
          <w:rFonts w:ascii="Arial" w:hAnsi="Arial" w:cs="Arial"/>
          <w:b/>
          <w:bCs/>
        </w:rPr>
        <w:t xml:space="preserve">STRENGHENING HUMAN RIGHTS MECHANISMS IN THE AGE OF AI; BUILDING CAPACITY TO MITIGATE </w:t>
      </w:r>
      <w:r w:rsidR="00D5203B" w:rsidRPr="00EF0C51">
        <w:rPr>
          <w:rFonts w:ascii="Arial" w:hAnsi="Arial" w:cs="Arial"/>
          <w:b/>
          <w:bCs/>
        </w:rPr>
        <w:t>HARMS AND PROTECT AFRICAN’S RIGHTS</w:t>
      </w:r>
    </w:p>
    <w:p w14:paraId="6877FB42" w14:textId="1953CDA6" w:rsidR="00FF0A57" w:rsidRDefault="00C45E4C" w:rsidP="00B7158B">
      <w:pPr>
        <w:spacing w:line="480" w:lineRule="auto"/>
        <w:jc w:val="both"/>
        <w:rPr>
          <w:rFonts w:ascii="Arial" w:hAnsi="Arial" w:cs="Arial"/>
        </w:rPr>
      </w:pPr>
      <w:r>
        <w:rPr>
          <w:rFonts w:ascii="Arial" w:hAnsi="Arial" w:cs="Arial"/>
        </w:rPr>
        <w:t xml:space="preserve">One would ask; </w:t>
      </w:r>
      <w:r w:rsidR="0041047B">
        <w:rPr>
          <w:rFonts w:ascii="Arial" w:hAnsi="Arial" w:cs="Arial"/>
        </w:rPr>
        <w:t xml:space="preserve">how can human rights mechanisms </w:t>
      </w:r>
      <w:r w:rsidR="001B1C50">
        <w:rPr>
          <w:rFonts w:ascii="Arial" w:hAnsi="Arial" w:cs="Arial"/>
        </w:rPr>
        <w:t xml:space="preserve">mitigate the harms and uphold rights </w:t>
      </w:r>
      <w:r w:rsidR="00F132C3">
        <w:rPr>
          <w:rFonts w:ascii="Arial" w:hAnsi="Arial" w:cs="Arial"/>
        </w:rPr>
        <w:t xml:space="preserve">of persons </w:t>
      </w:r>
      <w:r w:rsidR="001B1C50">
        <w:rPr>
          <w:rFonts w:ascii="Arial" w:hAnsi="Arial" w:cs="Arial"/>
        </w:rPr>
        <w:t>in an increasingly digital age?</w:t>
      </w:r>
      <w:r w:rsidR="00F132C3">
        <w:rPr>
          <w:rFonts w:ascii="Arial" w:hAnsi="Arial" w:cs="Arial"/>
        </w:rPr>
        <w:t xml:space="preserve"> Before we </w:t>
      </w:r>
      <w:r w:rsidR="00D8007C">
        <w:rPr>
          <w:rFonts w:ascii="Arial" w:hAnsi="Arial" w:cs="Arial"/>
        </w:rPr>
        <w:t>address this question,</w:t>
      </w:r>
      <w:r w:rsidR="006342E7">
        <w:rPr>
          <w:rFonts w:ascii="Arial" w:hAnsi="Arial" w:cs="Arial"/>
        </w:rPr>
        <w:t xml:space="preserve"> </w:t>
      </w:r>
      <w:proofErr w:type="gramStart"/>
      <w:r w:rsidR="006342E7">
        <w:rPr>
          <w:rFonts w:ascii="Arial" w:hAnsi="Arial" w:cs="Arial"/>
        </w:rPr>
        <w:t>It</w:t>
      </w:r>
      <w:proofErr w:type="gramEnd"/>
      <w:r w:rsidR="006342E7">
        <w:rPr>
          <w:rFonts w:ascii="Arial" w:hAnsi="Arial" w:cs="Arial"/>
        </w:rPr>
        <w:t xml:space="preserve"> is </w:t>
      </w:r>
      <w:r w:rsidR="005F0557">
        <w:rPr>
          <w:rFonts w:ascii="Arial" w:hAnsi="Arial" w:cs="Arial"/>
        </w:rPr>
        <w:t>apt and pertinent to underscore the fact that</w:t>
      </w:r>
      <w:r w:rsidR="000B74DD">
        <w:rPr>
          <w:rFonts w:ascii="Arial" w:hAnsi="Arial" w:cs="Arial"/>
        </w:rPr>
        <w:t xml:space="preserve"> as</w:t>
      </w:r>
      <w:r w:rsidR="000B74DD" w:rsidRPr="000B74DD">
        <w:rPr>
          <w:rFonts w:ascii="Arial" w:hAnsi="Arial" w:cs="Arial"/>
        </w:rPr>
        <w:t xml:space="preserve"> AI become increasingly embedded in </w:t>
      </w:r>
      <w:r w:rsidR="000B74DD" w:rsidRPr="000B74DD">
        <w:rPr>
          <w:rFonts w:ascii="Arial" w:hAnsi="Arial" w:cs="Arial"/>
        </w:rPr>
        <w:lastRenderedPageBreak/>
        <w:t>governance, economic systems, and social life across Africa, the role of human rights mechanisms</w:t>
      </w:r>
      <w:r w:rsidR="000B74DD">
        <w:rPr>
          <w:rFonts w:ascii="Arial" w:hAnsi="Arial" w:cs="Arial"/>
        </w:rPr>
        <w:t xml:space="preserve"> (</w:t>
      </w:r>
      <w:r w:rsidR="000B74DD" w:rsidRPr="000B74DD">
        <w:rPr>
          <w:rFonts w:ascii="Arial" w:hAnsi="Arial" w:cs="Arial"/>
        </w:rPr>
        <w:t>regional, national, and community-based</w:t>
      </w:r>
      <w:r w:rsidR="00D8007C">
        <w:rPr>
          <w:rFonts w:ascii="Arial" w:hAnsi="Arial" w:cs="Arial"/>
        </w:rPr>
        <w:t xml:space="preserve">) </w:t>
      </w:r>
      <w:r w:rsidR="000B74DD" w:rsidRPr="000B74DD">
        <w:rPr>
          <w:rFonts w:ascii="Arial" w:hAnsi="Arial" w:cs="Arial"/>
        </w:rPr>
        <w:t>grows ever more critical</w:t>
      </w:r>
      <w:r w:rsidR="000B74DD">
        <w:rPr>
          <w:rFonts w:ascii="Arial" w:hAnsi="Arial" w:cs="Arial"/>
        </w:rPr>
        <w:t>.</w:t>
      </w:r>
      <w:r w:rsidR="00D8007C">
        <w:rPr>
          <w:rFonts w:ascii="Arial" w:hAnsi="Arial" w:cs="Arial"/>
        </w:rPr>
        <w:t xml:space="preserve"> </w:t>
      </w:r>
      <w:r w:rsidR="009705DE" w:rsidRPr="009705DE">
        <w:rPr>
          <w:rFonts w:ascii="Arial" w:hAnsi="Arial" w:cs="Arial"/>
        </w:rPr>
        <w:t xml:space="preserve">While AI presents opportunities for development and improved service delivery, </w:t>
      </w:r>
      <w:r w:rsidR="009705DE">
        <w:rPr>
          <w:rFonts w:ascii="Arial" w:hAnsi="Arial" w:cs="Arial"/>
        </w:rPr>
        <w:t>the</w:t>
      </w:r>
      <w:r w:rsidR="009705DE" w:rsidRPr="009705DE">
        <w:rPr>
          <w:rFonts w:ascii="Arial" w:hAnsi="Arial" w:cs="Arial"/>
        </w:rPr>
        <w:t xml:space="preserve"> preceding chapters</w:t>
      </w:r>
      <w:r w:rsidR="00EF7847">
        <w:rPr>
          <w:rFonts w:ascii="Arial" w:hAnsi="Arial" w:cs="Arial"/>
        </w:rPr>
        <w:t xml:space="preserve"> of this work</w:t>
      </w:r>
      <w:r w:rsidR="009705DE" w:rsidRPr="009705DE">
        <w:rPr>
          <w:rFonts w:ascii="Arial" w:hAnsi="Arial" w:cs="Arial"/>
        </w:rPr>
        <w:t xml:space="preserve"> highlight</w:t>
      </w:r>
      <w:r w:rsidR="00EF7847">
        <w:rPr>
          <w:rFonts w:ascii="Arial" w:hAnsi="Arial" w:cs="Arial"/>
        </w:rPr>
        <w:t>s</w:t>
      </w:r>
      <w:r w:rsidR="009705DE" w:rsidRPr="009705DE">
        <w:rPr>
          <w:rFonts w:ascii="Arial" w:hAnsi="Arial" w:cs="Arial"/>
        </w:rPr>
        <w:t xml:space="preserve"> how it also amplifies risks relating to discrimination, violations of dignity, privacy intrusion, exclusion, and threats to socio-economic and cultural rights</w:t>
      </w:r>
      <w:r w:rsidR="00EF7847">
        <w:rPr>
          <w:rFonts w:ascii="Arial" w:hAnsi="Arial" w:cs="Arial"/>
        </w:rPr>
        <w:t xml:space="preserve">. </w:t>
      </w:r>
      <w:r w:rsidR="00FF0A57" w:rsidRPr="00FF0A57">
        <w:rPr>
          <w:rFonts w:ascii="Arial" w:hAnsi="Arial" w:cs="Arial"/>
        </w:rPr>
        <w:t>In this context, strengthening the capacity of human rights institutions is essential to ensure that technological innovation aligns with the African Charter on Human and Peoples’ Rights and promotes, rather than undermines, the wellbeing of Africans.</w:t>
      </w:r>
    </w:p>
    <w:p w14:paraId="27F9C6D8" w14:textId="77777777" w:rsidR="00FD3243" w:rsidRDefault="00DC383B" w:rsidP="00B7158B">
      <w:pPr>
        <w:spacing w:line="480" w:lineRule="auto"/>
        <w:jc w:val="both"/>
        <w:rPr>
          <w:rFonts w:ascii="Arial" w:hAnsi="Arial" w:cs="Arial"/>
        </w:rPr>
      </w:pPr>
      <w:r w:rsidRPr="00DC383B">
        <w:rPr>
          <w:rFonts w:ascii="Arial" w:hAnsi="Arial" w:cs="Arial"/>
        </w:rPr>
        <w:t>African human rights mechanisms</w:t>
      </w:r>
      <w:r>
        <w:rPr>
          <w:rFonts w:ascii="Arial" w:hAnsi="Arial" w:cs="Arial"/>
        </w:rPr>
        <w:t xml:space="preserve"> </w:t>
      </w:r>
      <w:r w:rsidRPr="00DC383B">
        <w:rPr>
          <w:rFonts w:ascii="Arial" w:hAnsi="Arial" w:cs="Arial"/>
        </w:rPr>
        <w:t>including the African Commission on Human and Peoples’ Rights (ACHPR), the African Court on Human and Peoples’ Rights, national human rights institutions (NHRIs), data protection authorities, and civil society organisations</w:t>
      </w:r>
      <w:r>
        <w:rPr>
          <w:rFonts w:ascii="Arial" w:hAnsi="Arial" w:cs="Arial"/>
        </w:rPr>
        <w:t xml:space="preserve"> </w:t>
      </w:r>
      <w:r w:rsidRPr="00DC383B">
        <w:rPr>
          <w:rFonts w:ascii="Arial" w:hAnsi="Arial" w:cs="Arial"/>
        </w:rPr>
        <w:t>possess the legal mandate and normative frameworks necessary to respond to emerging digital harms.</w:t>
      </w:r>
      <w:r w:rsidR="00576732">
        <w:rPr>
          <w:rFonts w:ascii="Arial" w:hAnsi="Arial" w:cs="Arial"/>
        </w:rPr>
        <w:t xml:space="preserve"> </w:t>
      </w:r>
      <w:r w:rsidR="00576732" w:rsidRPr="00576732">
        <w:rPr>
          <w:rFonts w:ascii="Arial" w:hAnsi="Arial" w:cs="Arial"/>
        </w:rPr>
        <w:t>However, effectively addressing AI-related violations requires both structural readiness and updated tools for oversight. As</w:t>
      </w:r>
      <w:r w:rsidR="00521268">
        <w:rPr>
          <w:rFonts w:ascii="Arial" w:hAnsi="Arial" w:cs="Arial"/>
        </w:rPr>
        <w:t xml:space="preserve"> </w:t>
      </w:r>
      <w:r w:rsidR="00576732" w:rsidRPr="00576732">
        <w:rPr>
          <w:rFonts w:ascii="Arial" w:hAnsi="Arial" w:cs="Arial"/>
        </w:rPr>
        <w:t>noted earlier, many risks associated with AI stem from structural inequities, unrepresentative data, bias in algorithmic systems, and the uneven development of digital infrastructure across African countries</w:t>
      </w:r>
      <w:r w:rsidR="00521268">
        <w:rPr>
          <w:rFonts w:ascii="Arial" w:hAnsi="Arial" w:cs="Arial"/>
        </w:rPr>
        <w:t>.</w:t>
      </w:r>
      <w:r w:rsidR="00FD3243">
        <w:rPr>
          <w:rFonts w:ascii="Arial" w:hAnsi="Arial" w:cs="Arial"/>
        </w:rPr>
        <w:t xml:space="preserve"> </w:t>
      </w:r>
      <w:r w:rsidR="00FD3243" w:rsidRPr="00FD3243">
        <w:rPr>
          <w:rFonts w:ascii="Arial" w:hAnsi="Arial" w:cs="Arial"/>
        </w:rPr>
        <w:t>These vulnerabilities demand robust, well-equipped institutions capable of integrating technological literacy into human rights protection.</w:t>
      </w:r>
    </w:p>
    <w:p w14:paraId="1CA6C10F" w14:textId="28EF5CE1" w:rsidR="009E2E9F" w:rsidRDefault="00B512ED" w:rsidP="00B7158B">
      <w:pPr>
        <w:spacing w:line="480" w:lineRule="auto"/>
        <w:jc w:val="both"/>
        <w:rPr>
          <w:rFonts w:ascii="Arial" w:hAnsi="Arial" w:cs="Arial"/>
        </w:rPr>
      </w:pPr>
      <w:r w:rsidRPr="00B512ED">
        <w:rPr>
          <w:rFonts w:ascii="Arial" w:hAnsi="Arial" w:cs="Arial"/>
        </w:rPr>
        <w:t>A first priority is strengthening normative guidance. The African Commission has already demonstrated leadership by clarifying how core rights such as dignity, equality, non-discrimination, and life apply in technologically mediated contexts. These interpretations must now be expanded to explicitly address algorithmic decision-making, automated surveillance, biometric identification, and AI-driven profiling</w:t>
      </w:r>
      <w:r w:rsidR="00681C41">
        <w:rPr>
          <w:rFonts w:ascii="Arial" w:hAnsi="Arial" w:cs="Arial"/>
        </w:rPr>
        <w:t xml:space="preserve"> </w:t>
      </w:r>
      <w:r w:rsidRPr="00B512ED">
        <w:rPr>
          <w:rFonts w:ascii="Arial" w:hAnsi="Arial" w:cs="Arial"/>
        </w:rPr>
        <w:t xml:space="preserve">phenomena that directly intersect with rights discussed in earlier sections of </w:t>
      </w:r>
      <w:r w:rsidR="00BE1683">
        <w:rPr>
          <w:rFonts w:ascii="Arial" w:hAnsi="Arial" w:cs="Arial"/>
        </w:rPr>
        <w:t>this</w:t>
      </w:r>
      <w:r w:rsidRPr="00B512ED">
        <w:rPr>
          <w:rFonts w:ascii="Arial" w:hAnsi="Arial" w:cs="Arial"/>
        </w:rPr>
        <w:t xml:space="preserve"> paper, </w:t>
      </w:r>
      <w:r w:rsidRPr="00B512ED">
        <w:rPr>
          <w:rFonts w:ascii="Arial" w:hAnsi="Arial" w:cs="Arial"/>
        </w:rPr>
        <w:lastRenderedPageBreak/>
        <w:t>including dignity, privacy, equality, work, and education</w:t>
      </w:r>
      <w:r w:rsidR="00612324">
        <w:rPr>
          <w:rFonts w:ascii="Arial" w:hAnsi="Arial" w:cs="Arial"/>
        </w:rPr>
        <w:t xml:space="preserve">. </w:t>
      </w:r>
      <w:r w:rsidR="00612324" w:rsidRPr="00612324">
        <w:rPr>
          <w:rFonts w:ascii="Arial" w:hAnsi="Arial" w:cs="Arial"/>
        </w:rPr>
        <w:t>Developing continent-wide soft-law instruments or guidelines on human rights and AI would help harmonise state practices and close governance gaps.</w:t>
      </w:r>
    </w:p>
    <w:p w14:paraId="45D506DD" w14:textId="6081A67A" w:rsidR="00972DEE" w:rsidRDefault="00972DEE" w:rsidP="00B7158B">
      <w:pPr>
        <w:spacing w:line="480" w:lineRule="auto"/>
        <w:jc w:val="both"/>
        <w:rPr>
          <w:rFonts w:ascii="Arial" w:hAnsi="Arial" w:cs="Arial"/>
        </w:rPr>
      </w:pPr>
      <w:r w:rsidRPr="00972DEE">
        <w:rPr>
          <w:rFonts w:ascii="Arial" w:hAnsi="Arial" w:cs="Arial"/>
        </w:rPr>
        <w:t>Second</w:t>
      </w:r>
      <w:r>
        <w:rPr>
          <w:rFonts w:ascii="Arial" w:hAnsi="Arial" w:cs="Arial"/>
        </w:rPr>
        <w:t>ly</w:t>
      </w:r>
      <w:r w:rsidRPr="00972DEE">
        <w:rPr>
          <w:rFonts w:ascii="Arial" w:hAnsi="Arial" w:cs="Arial"/>
        </w:rPr>
        <w:t>, institutional capacity-building is essential. Regional bodies, courts, and NHRIs must develop technical expertise to investigate AI-related human rights abuses effectively. This includes training staff on algorithmic auditing, data governance, and digital evidence analysis; equipping institutions with tools to assess the human rights impact of emerging technologies; and establishing partnerships with universities and African AI labs to strengthen technical competence. Without such capacity, institutions risk being outpaced by the rapid evolution of AI technologies.</w:t>
      </w:r>
    </w:p>
    <w:p w14:paraId="2B840D14" w14:textId="0C4D9108" w:rsidR="008E4D40" w:rsidRDefault="00F67642" w:rsidP="00B7158B">
      <w:pPr>
        <w:spacing w:line="480" w:lineRule="auto"/>
        <w:jc w:val="both"/>
        <w:rPr>
          <w:rFonts w:ascii="Arial" w:hAnsi="Arial" w:cs="Arial"/>
        </w:rPr>
      </w:pPr>
      <w:r w:rsidRPr="00F67642">
        <w:rPr>
          <w:rFonts w:ascii="Arial" w:hAnsi="Arial" w:cs="Arial"/>
        </w:rPr>
        <w:t>Third</w:t>
      </w:r>
      <w:r>
        <w:rPr>
          <w:rFonts w:ascii="Arial" w:hAnsi="Arial" w:cs="Arial"/>
        </w:rPr>
        <w:t>ly</w:t>
      </w:r>
      <w:r w:rsidRPr="00F67642">
        <w:rPr>
          <w:rFonts w:ascii="Arial" w:hAnsi="Arial" w:cs="Arial"/>
        </w:rPr>
        <w:t xml:space="preserve">, strengthening regulatory ecosystems is necessary to ensure accountability. Many of the risks identified in earlier parts of </w:t>
      </w:r>
      <w:r>
        <w:rPr>
          <w:rFonts w:ascii="Arial" w:hAnsi="Arial" w:cs="Arial"/>
        </w:rPr>
        <w:t xml:space="preserve">this paper </w:t>
      </w:r>
      <w:r w:rsidRPr="00F67642">
        <w:rPr>
          <w:rFonts w:ascii="Arial" w:hAnsi="Arial" w:cs="Arial"/>
        </w:rPr>
        <w:t>such as discriminatory AI systems, exploitative data practices, job displacement, unequal access, and opaque automated decision-making</w:t>
      </w:r>
      <w:r>
        <w:rPr>
          <w:rFonts w:ascii="Arial" w:hAnsi="Arial" w:cs="Arial"/>
        </w:rPr>
        <w:t xml:space="preserve"> </w:t>
      </w:r>
      <w:r w:rsidRPr="00F67642">
        <w:rPr>
          <w:rFonts w:ascii="Arial" w:hAnsi="Arial" w:cs="Arial"/>
        </w:rPr>
        <w:t>are exacerbated by weak or fragmented regulation</w:t>
      </w:r>
      <w:r w:rsidR="00BF3644">
        <w:rPr>
          <w:rFonts w:ascii="Arial" w:hAnsi="Arial" w:cs="Arial"/>
        </w:rPr>
        <w:t>.</w:t>
      </w:r>
      <w:r w:rsidR="0066542D">
        <w:rPr>
          <w:rFonts w:ascii="Arial" w:hAnsi="Arial" w:cs="Arial"/>
        </w:rPr>
        <w:t xml:space="preserve"> </w:t>
      </w:r>
      <w:r w:rsidR="0066542D" w:rsidRPr="0066542D">
        <w:rPr>
          <w:rFonts w:ascii="Arial" w:hAnsi="Arial" w:cs="Arial"/>
        </w:rPr>
        <w:t>Data protection authorities must be empowered with clear mandates, independence, and enforcement capacity to oversee AI deployment, particularly by powerful private and state actors. National AI strategies should incorporate human rights assessments, transparency obligations, and public participation mechanisms.</w:t>
      </w:r>
      <w:r w:rsidR="002638DC">
        <w:rPr>
          <w:rFonts w:ascii="Arial" w:hAnsi="Arial" w:cs="Arial"/>
        </w:rPr>
        <w:t xml:space="preserve"> </w:t>
      </w:r>
    </w:p>
    <w:p w14:paraId="196F87E7" w14:textId="733AFA3B" w:rsidR="007475FD" w:rsidRDefault="007475FD" w:rsidP="00B7158B">
      <w:pPr>
        <w:spacing w:line="480" w:lineRule="auto"/>
        <w:jc w:val="both"/>
        <w:rPr>
          <w:rFonts w:ascii="Arial" w:hAnsi="Arial" w:cs="Arial"/>
        </w:rPr>
      </w:pPr>
      <w:r w:rsidRPr="007475FD">
        <w:rPr>
          <w:rFonts w:ascii="Arial" w:hAnsi="Arial" w:cs="Arial"/>
        </w:rPr>
        <w:t>Fourth</w:t>
      </w:r>
      <w:r>
        <w:rPr>
          <w:rFonts w:ascii="Arial" w:hAnsi="Arial" w:cs="Arial"/>
        </w:rPr>
        <w:t>ly</w:t>
      </w:r>
      <w:r w:rsidRPr="007475FD">
        <w:rPr>
          <w:rFonts w:ascii="Arial" w:hAnsi="Arial" w:cs="Arial"/>
        </w:rPr>
        <w:t>, inclusive governance and public participation are indispensable. AI governance cannot be left to governments, foreign companies, or technocrats alone. A rights-based approach requires meaningful involvement of civil society, affected communities, women, youth, persons with disabilities, and other groups who face disproportionate digital harms</w:t>
      </w:r>
      <w:r w:rsidR="008B7EBA">
        <w:rPr>
          <w:rFonts w:ascii="Arial" w:hAnsi="Arial" w:cs="Arial"/>
        </w:rPr>
        <w:t xml:space="preserve"> </w:t>
      </w:r>
      <w:r w:rsidRPr="007475FD">
        <w:rPr>
          <w:rFonts w:ascii="Arial" w:hAnsi="Arial" w:cs="Arial"/>
        </w:rPr>
        <w:t xml:space="preserve">groups whose vulnerabilities </w:t>
      </w:r>
      <w:r w:rsidR="008114A7">
        <w:rPr>
          <w:rFonts w:ascii="Arial" w:hAnsi="Arial" w:cs="Arial"/>
        </w:rPr>
        <w:t>as</w:t>
      </w:r>
      <w:r w:rsidRPr="007475FD">
        <w:rPr>
          <w:rFonts w:ascii="Arial" w:hAnsi="Arial" w:cs="Arial"/>
        </w:rPr>
        <w:t xml:space="preserve"> analysed extensively </w:t>
      </w:r>
      <w:r w:rsidRPr="007475FD">
        <w:rPr>
          <w:rFonts w:ascii="Arial" w:hAnsi="Arial" w:cs="Arial"/>
        </w:rPr>
        <w:lastRenderedPageBreak/>
        <w:t xml:space="preserve">earlier in </w:t>
      </w:r>
      <w:r w:rsidR="008114A7">
        <w:rPr>
          <w:rFonts w:ascii="Arial" w:hAnsi="Arial" w:cs="Arial"/>
        </w:rPr>
        <w:t xml:space="preserve">this paper. </w:t>
      </w:r>
      <w:r w:rsidR="000B48F4" w:rsidRPr="000B48F4">
        <w:rPr>
          <w:rFonts w:ascii="Arial" w:hAnsi="Arial" w:cs="Arial"/>
        </w:rPr>
        <w:t>Grassroots engagement ensures that AI systems reflect African socio-cultural contexts and do not deepen inequality or exclusion.</w:t>
      </w:r>
    </w:p>
    <w:p w14:paraId="4228E05E" w14:textId="649B5F3B" w:rsidR="00DD6C90" w:rsidRDefault="0087211A" w:rsidP="00B7158B">
      <w:pPr>
        <w:spacing w:line="480" w:lineRule="auto"/>
        <w:jc w:val="both"/>
        <w:rPr>
          <w:rFonts w:ascii="Arial" w:hAnsi="Arial" w:cs="Arial"/>
        </w:rPr>
      </w:pPr>
      <w:r w:rsidRPr="0087211A">
        <w:rPr>
          <w:rFonts w:ascii="Arial" w:hAnsi="Arial" w:cs="Arial"/>
        </w:rPr>
        <w:t>Finally, cross-border collaboration is essential. AI systems deployed in Africa are often built, owned, or controlled outside the continent, which raises challenges relating to accountability, property rights, digital sovereignty, and extraterritorial harms—including those implicated in lethal autonomous systems and surveillance technologies</w:t>
      </w:r>
      <w:r w:rsidR="00DC7904">
        <w:rPr>
          <w:rFonts w:ascii="Arial" w:hAnsi="Arial" w:cs="Arial"/>
        </w:rPr>
        <w:t xml:space="preserve">. </w:t>
      </w:r>
      <w:r w:rsidR="009E6B4C" w:rsidRPr="009E6B4C">
        <w:rPr>
          <w:rFonts w:ascii="Arial" w:hAnsi="Arial" w:cs="Arial"/>
        </w:rPr>
        <w:t>Regional human rights bodies must strengthen cooperation among African states to enforce standards collectively, negotiate fairer technological partnerships, and resist exploitative digital practices.</w:t>
      </w:r>
      <w:r w:rsidR="005A15CF">
        <w:rPr>
          <w:rFonts w:ascii="Arial" w:hAnsi="Arial" w:cs="Arial"/>
        </w:rPr>
        <w:t xml:space="preserve"> </w:t>
      </w:r>
    </w:p>
    <w:p w14:paraId="208C7C94" w14:textId="0AD47AA4" w:rsidR="00617A24" w:rsidRPr="00EF0C51" w:rsidRDefault="00617A24" w:rsidP="00B7158B">
      <w:pPr>
        <w:spacing w:line="480" w:lineRule="auto"/>
        <w:rPr>
          <w:rFonts w:ascii="Arial" w:hAnsi="Arial" w:cs="Arial"/>
          <w:b/>
          <w:bCs/>
        </w:rPr>
      </w:pPr>
      <w:r w:rsidRPr="00EF0C51">
        <w:rPr>
          <w:rFonts w:ascii="Arial" w:hAnsi="Arial" w:cs="Arial"/>
          <w:b/>
          <w:bCs/>
        </w:rPr>
        <w:t>CONCLUSION</w:t>
      </w:r>
    </w:p>
    <w:p w14:paraId="62CD797E" w14:textId="0F775D44" w:rsidR="00617A24" w:rsidRDefault="00794063" w:rsidP="00B7158B">
      <w:pPr>
        <w:spacing w:line="480" w:lineRule="auto"/>
        <w:jc w:val="both"/>
        <w:rPr>
          <w:rFonts w:ascii="Arial" w:hAnsi="Arial" w:cs="Arial"/>
        </w:rPr>
      </w:pPr>
      <w:r w:rsidRPr="00794063">
        <w:rPr>
          <w:rFonts w:ascii="Arial" w:hAnsi="Arial" w:cs="Arial"/>
        </w:rPr>
        <w:t>Artificial intelligence is rapidly reshaping Africa’s social, economic, and political landscapes, offering unprecedented opportunities for growth while simultaneously introducing complex risks to the human rights of individuals and communities. As this essay has shown, AI intersects with nearly every category of rights protected under the African Charter on Human and Peoples’ Rights—from dignity, equality, privacy, and life to socio-economic and cultural rights such as education, work, and property. While AI can drive inclusive development, expand access to essential services, and strengthen governance, it can also deepen structural inequalities, perpetuate discrimination, and create new forms of exploitation if not properly regulated.</w:t>
      </w:r>
    </w:p>
    <w:p w14:paraId="6A5A6FAE" w14:textId="022D4C88" w:rsidR="00237A01" w:rsidRDefault="00237A01" w:rsidP="00B7158B">
      <w:pPr>
        <w:spacing w:line="480" w:lineRule="auto"/>
        <w:jc w:val="both"/>
        <w:rPr>
          <w:rFonts w:ascii="Arial" w:hAnsi="Arial" w:cs="Arial"/>
        </w:rPr>
      </w:pPr>
      <w:r w:rsidRPr="00237A01">
        <w:rPr>
          <w:rFonts w:ascii="Arial" w:hAnsi="Arial" w:cs="Arial"/>
        </w:rPr>
        <w:t xml:space="preserve">Africa stands at a critical juncture. The continent’s uneven digital readiness, infrastructural gaps, and dependence on foreign technologies make the risks of AI particularly acute. Bias in algorithms, exclusion from digital systems, job displacement, unaccountable surveillance, and inequitable ownership of AI resources are not abstract concerns; they mirror historical patterns of marginalisation and global </w:t>
      </w:r>
      <w:r w:rsidRPr="00237A01">
        <w:rPr>
          <w:rFonts w:ascii="Arial" w:hAnsi="Arial" w:cs="Arial"/>
        </w:rPr>
        <w:lastRenderedPageBreak/>
        <w:t>technological inequities. At the same time, Africa’s youthful population, growing innovation ecosystems, and emerging regulatory frameworks demonstrate that the continent is not merely a passive consumer of AI but an active shaper of its possibilities.</w:t>
      </w:r>
    </w:p>
    <w:p w14:paraId="56C9B31E" w14:textId="1181D723" w:rsidR="00FE65EA" w:rsidRDefault="00FE65EA" w:rsidP="00B7158B">
      <w:pPr>
        <w:spacing w:line="480" w:lineRule="auto"/>
        <w:jc w:val="both"/>
        <w:rPr>
          <w:rFonts w:ascii="Arial" w:hAnsi="Arial" w:cs="Arial"/>
        </w:rPr>
      </w:pPr>
      <w:r w:rsidRPr="00FE65EA">
        <w:rPr>
          <w:rFonts w:ascii="Arial" w:hAnsi="Arial" w:cs="Arial"/>
        </w:rPr>
        <w:t>Ultimately, the future of AI and human rights in Africa will be determined by the strength and adaptability of its human rights mechanisms. As discussed, regional institutions such as the African Commission and African Court, national human rights institutions, data protection authorities, policymakers, and civil society actors have a decisive role to play. Their ability to develop normative guidance, build technical expertise, enforce accountability, and ensure inclusive governance will determine whether AI becomes a tool of empowerment or a driver of injustice.</w:t>
      </w:r>
    </w:p>
    <w:p w14:paraId="15F77C52" w14:textId="245FC1BD" w:rsidR="00FE65EA" w:rsidRPr="00FD3243" w:rsidRDefault="00CB6BA6" w:rsidP="00B7158B">
      <w:pPr>
        <w:spacing w:line="480" w:lineRule="auto"/>
        <w:jc w:val="both"/>
        <w:rPr>
          <w:rFonts w:ascii="Arial" w:hAnsi="Arial" w:cs="Arial"/>
        </w:rPr>
      </w:pPr>
      <w:r w:rsidRPr="00CB6BA6">
        <w:rPr>
          <w:rFonts w:ascii="Arial" w:hAnsi="Arial" w:cs="Arial"/>
        </w:rPr>
        <w:t>For AI to serve Africa responsibly, States must embrace a rights-centred approach that is grounded in the values of dignity, equality, solidarity, and collective wellbeing</w:t>
      </w:r>
      <w:r>
        <w:rPr>
          <w:rFonts w:ascii="Arial" w:hAnsi="Arial" w:cs="Arial"/>
        </w:rPr>
        <w:t xml:space="preserve"> </w:t>
      </w:r>
      <w:r w:rsidRPr="00CB6BA6">
        <w:rPr>
          <w:rFonts w:ascii="Arial" w:hAnsi="Arial" w:cs="Arial"/>
        </w:rPr>
        <w:t>principles deeply embedded in the African Charter. This requires investment in digital infrastructure, policy coherence, protection of vulnerable groups, and collaboration across borders and sectors. Most importantly, it requires ensuring that Africans themselves</w:t>
      </w:r>
      <w:r>
        <w:rPr>
          <w:rFonts w:ascii="Arial" w:hAnsi="Arial" w:cs="Arial"/>
        </w:rPr>
        <w:t xml:space="preserve"> </w:t>
      </w:r>
      <w:r w:rsidRPr="00CB6BA6">
        <w:rPr>
          <w:rFonts w:ascii="Arial" w:hAnsi="Arial" w:cs="Arial"/>
        </w:rPr>
        <w:t>not foreign corporations, not opaque algorithms</w:t>
      </w:r>
      <w:r>
        <w:rPr>
          <w:rFonts w:ascii="Arial" w:hAnsi="Arial" w:cs="Arial"/>
        </w:rPr>
        <w:t xml:space="preserve"> </w:t>
      </w:r>
      <w:r w:rsidRPr="00CB6BA6">
        <w:rPr>
          <w:rFonts w:ascii="Arial" w:hAnsi="Arial" w:cs="Arial"/>
        </w:rPr>
        <w:t>remain at the centre of technological transformation.</w:t>
      </w:r>
    </w:p>
    <w:p w14:paraId="73BD4FBE" w14:textId="486A4686" w:rsidR="00FF0A57" w:rsidRPr="00D91AFF" w:rsidRDefault="00EF0C51" w:rsidP="00B7158B">
      <w:pPr>
        <w:spacing w:line="480" w:lineRule="auto"/>
        <w:jc w:val="both"/>
        <w:rPr>
          <w:rFonts w:ascii="Arial" w:hAnsi="Arial" w:cs="Arial"/>
        </w:rPr>
      </w:pPr>
      <w:r w:rsidRPr="00EF0C51">
        <w:rPr>
          <w:rFonts w:ascii="Arial" w:hAnsi="Arial" w:cs="Arial"/>
        </w:rPr>
        <w:t xml:space="preserve">If African states commit to these principles and strengthen their human rights systems to meet the challenges of the digital age, AI can become a catalyst for development, justice, and human flourishing. But without deliberate, rights-based governance, AI threatens to entrench the very inequalities and violations the African human rights system was created to confront. The path forward depends on political will, institutional </w:t>
      </w:r>
      <w:r w:rsidRPr="00EF0C51">
        <w:rPr>
          <w:rFonts w:ascii="Arial" w:hAnsi="Arial" w:cs="Arial"/>
        </w:rPr>
        <w:lastRenderedPageBreak/>
        <w:t>capacity, and a collective commitment to ensuring that the digital future is equitable, accountable, and truly beneficial for all Africans.</w:t>
      </w:r>
    </w:p>
    <w:p w14:paraId="593A0618" w14:textId="461AA483" w:rsidR="00A86101" w:rsidRPr="00E82935" w:rsidRDefault="00E82935" w:rsidP="00B7158B">
      <w:pPr>
        <w:spacing w:line="480" w:lineRule="auto"/>
        <w:jc w:val="both"/>
        <w:rPr>
          <w:rFonts w:ascii="Arial" w:hAnsi="Arial" w:cs="Arial"/>
          <w:b/>
          <w:bCs/>
        </w:rPr>
      </w:pPr>
      <w:r w:rsidRPr="00E82935">
        <w:rPr>
          <w:rFonts w:ascii="Arial" w:hAnsi="Arial" w:cs="Arial"/>
          <w:b/>
          <w:bCs/>
        </w:rPr>
        <w:t xml:space="preserve">LIST OF </w:t>
      </w:r>
      <w:r w:rsidR="00C22B79" w:rsidRPr="00E82935">
        <w:rPr>
          <w:rFonts w:ascii="Arial" w:hAnsi="Arial" w:cs="Arial"/>
          <w:b/>
          <w:bCs/>
        </w:rPr>
        <w:t>REFERENCES</w:t>
      </w:r>
    </w:p>
    <w:p w14:paraId="5FF02DBB" w14:textId="1EB9F624" w:rsidR="00C22B79" w:rsidRPr="00A86101" w:rsidRDefault="00C22B79" w:rsidP="00C22B79">
      <w:pPr>
        <w:spacing w:line="480" w:lineRule="auto"/>
        <w:rPr>
          <w:rFonts w:ascii="Arial" w:hAnsi="Arial" w:cs="Arial"/>
        </w:rPr>
      </w:pPr>
      <w:r w:rsidRPr="00C22B79">
        <w:rPr>
          <w:rFonts w:ascii="Arial" w:hAnsi="Arial" w:cs="Arial"/>
        </w:rPr>
        <w:t>1. African Charter on Human and Peoples’ Rights, Articles 2, 3, 5, 14, 15, 19, 20.</w:t>
      </w:r>
      <w:r w:rsidRPr="00C22B79">
        <w:rPr>
          <w:rFonts w:ascii="Arial" w:hAnsi="Arial" w:cs="Arial"/>
        </w:rPr>
        <w:br/>
        <w:t>2. Draft ACHPR AI Study. Available at: </w:t>
      </w:r>
      <w:hyperlink r:id="rId8" w:tgtFrame="_blank" w:history="1">
        <w:r w:rsidRPr="00C22B79">
          <w:rPr>
            <w:rStyle w:val="Hyperlink"/>
            <w:rFonts w:ascii="Arial" w:hAnsi="Arial" w:cs="Arial"/>
          </w:rPr>
          <w:t>https://share.google/s7zlRT8qE21qef90R</w:t>
        </w:r>
      </w:hyperlink>
      <w:r w:rsidRPr="00C22B79">
        <w:rPr>
          <w:rFonts w:ascii="Arial" w:hAnsi="Arial" w:cs="Arial"/>
        </w:rPr>
        <w:t> (Accessed 8 December 2025).</w:t>
      </w:r>
      <w:r w:rsidRPr="00C22B79">
        <w:rPr>
          <w:rFonts w:ascii="Arial" w:hAnsi="Arial" w:cs="Arial"/>
        </w:rPr>
        <w:br/>
        <w:t xml:space="preserve">3. </w:t>
      </w:r>
      <w:proofErr w:type="spellStart"/>
      <w:r w:rsidRPr="00C22B79">
        <w:rPr>
          <w:rFonts w:ascii="Arial" w:hAnsi="Arial" w:cs="Arial"/>
        </w:rPr>
        <w:t>Gwagwa</w:t>
      </w:r>
      <w:proofErr w:type="spellEnd"/>
      <w:r w:rsidRPr="00C22B79">
        <w:rPr>
          <w:rFonts w:ascii="Arial" w:hAnsi="Arial" w:cs="Arial"/>
        </w:rPr>
        <w:t>, A., Kraemer-Mbula, E., Rizk, N., Rutenberg, I. &amp; De Beer, J. (2020). “Artificial intelligence (AI) deployments in Africa: Benefits, challenges and policy dimensions.” _The African Journal of Information and Communication_, 26, pp. 1–28.</w:t>
      </w:r>
      <w:r w:rsidRPr="00C22B79">
        <w:rPr>
          <w:rFonts w:ascii="Arial" w:hAnsi="Arial" w:cs="Arial"/>
        </w:rPr>
        <w:br/>
        <w:t>4. Idoko, N. (2024). “Tech Hubs in Africa Leading Innovative Change.” Available at: </w:t>
      </w:r>
      <w:hyperlink r:id="rId9" w:tgtFrame="_blank" w:history="1">
        <w:r w:rsidRPr="00C22B79">
          <w:rPr>
            <w:rStyle w:val="Hyperlink"/>
            <w:rFonts w:ascii="Arial" w:hAnsi="Arial" w:cs="Arial"/>
          </w:rPr>
          <w:t>https://nicholasidoko.com/blog/category/africa/</w:t>
        </w:r>
      </w:hyperlink>
      <w:r w:rsidRPr="00C22B79">
        <w:rPr>
          <w:rFonts w:ascii="Arial" w:hAnsi="Arial" w:cs="Arial"/>
        </w:rPr>
        <w:t> (Accessed 8 December 2025).</w:t>
      </w:r>
      <w:r w:rsidRPr="00C22B79">
        <w:rPr>
          <w:rFonts w:ascii="Arial" w:hAnsi="Arial" w:cs="Arial"/>
        </w:rPr>
        <w:br/>
        <w:t>5. Temidayo, O. (2020). “The AI Industry in Africa: The booming startups and indigenous AI promotion organisations.” _</w:t>
      </w:r>
      <w:proofErr w:type="spellStart"/>
      <w:r w:rsidRPr="00C22B79">
        <w:rPr>
          <w:rFonts w:ascii="Arial" w:hAnsi="Arial" w:cs="Arial"/>
        </w:rPr>
        <w:t>DigiLaw</w:t>
      </w:r>
      <w:proofErr w:type="spellEnd"/>
      <w:r w:rsidRPr="00C22B79">
        <w:rPr>
          <w:rFonts w:ascii="Arial" w:hAnsi="Arial" w:cs="Arial"/>
        </w:rPr>
        <w:t>_, 4 March. Available at: </w:t>
      </w:r>
      <w:hyperlink r:id="rId10" w:tgtFrame="_blank" w:history="1">
        <w:r w:rsidRPr="00C22B79">
          <w:rPr>
            <w:rStyle w:val="Hyperlink"/>
            <w:rFonts w:ascii="Arial" w:hAnsi="Arial" w:cs="Arial"/>
          </w:rPr>
          <w:t>https://medium.com/@DigiLawNG/the-ai-industry-in-africa-the-booming-startups-and-indigenous-ai-promotion-organisations-25d605f51d9b</w:t>
        </w:r>
      </w:hyperlink>
      <w:r w:rsidRPr="00C22B79">
        <w:rPr>
          <w:rFonts w:ascii="Arial" w:hAnsi="Arial" w:cs="Arial"/>
        </w:rPr>
        <w:t> (Accessed 8 December 2025).</w:t>
      </w:r>
      <w:r w:rsidRPr="00C22B79">
        <w:rPr>
          <w:rFonts w:ascii="Arial" w:hAnsi="Arial" w:cs="Arial"/>
        </w:rPr>
        <w:br/>
        <w:t xml:space="preserve">6. </w:t>
      </w:r>
      <w:proofErr w:type="spellStart"/>
      <w:r w:rsidRPr="00C22B79">
        <w:rPr>
          <w:rFonts w:ascii="Arial" w:hAnsi="Arial" w:cs="Arial"/>
        </w:rPr>
        <w:t>Chinganya</w:t>
      </w:r>
      <w:proofErr w:type="spellEnd"/>
      <w:r w:rsidRPr="00C22B79">
        <w:rPr>
          <w:rFonts w:ascii="Arial" w:hAnsi="Arial" w:cs="Arial"/>
        </w:rPr>
        <w:t>, O. “The Future of AI in Statistics in Africa: Is the Continent Ready?” Available at: </w:t>
      </w:r>
      <w:hyperlink r:id="rId11" w:tgtFrame="_blank" w:history="1">
        <w:r w:rsidRPr="00C22B79">
          <w:rPr>
            <w:rStyle w:val="Hyperlink"/>
            <w:rFonts w:ascii="Arial" w:hAnsi="Arial" w:cs="Arial"/>
          </w:rPr>
          <w:t>https://www.isi-web.org/article/future-ai-statistics-africa-continent-ready</w:t>
        </w:r>
      </w:hyperlink>
      <w:r w:rsidRPr="00C22B79">
        <w:rPr>
          <w:rFonts w:ascii="Arial" w:hAnsi="Arial" w:cs="Arial"/>
        </w:rPr>
        <w:t> (Accessed 8 December 2025).</w:t>
      </w:r>
      <w:r w:rsidRPr="00C22B79">
        <w:rPr>
          <w:rFonts w:ascii="Arial" w:hAnsi="Arial" w:cs="Arial"/>
        </w:rPr>
        <w:br/>
        <w:t>7. CIPIT. (2023). _State of AI in Africa Report 2023_. Available at: </w:t>
      </w:r>
      <w:hyperlink r:id="rId12" w:tgtFrame="_blank" w:history="1">
        <w:r w:rsidRPr="00C22B79">
          <w:rPr>
            <w:rStyle w:val="Hyperlink"/>
            <w:rFonts w:ascii="Arial" w:hAnsi="Arial" w:cs="Arial"/>
          </w:rPr>
          <w:t>https://cipit.strathmore.edu/wp-content/uploads/2023/05/The-State-of-AI-in-Africa-Report-2023-min.pdf</w:t>
        </w:r>
      </w:hyperlink>
      <w:r w:rsidRPr="00C22B79">
        <w:rPr>
          <w:rFonts w:ascii="Arial" w:hAnsi="Arial" w:cs="Arial"/>
        </w:rPr>
        <w:t> (Accessed 8 December 2025).</w:t>
      </w:r>
      <w:r w:rsidRPr="00C22B79">
        <w:rPr>
          <w:rFonts w:ascii="Arial" w:hAnsi="Arial" w:cs="Arial"/>
        </w:rPr>
        <w:br/>
        <w:t xml:space="preserve">8. Jaldi, A. (2023). “Artificial Intelligence Revolution in Africa: Economic Opportunities and Legal Challenges.” _Policy </w:t>
      </w:r>
      <w:proofErr w:type="spellStart"/>
      <w:r w:rsidRPr="00C22B79">
        <w:rPr>
          <w:rFonts w:ascii="Arial" w:hAnsi="Arial" w:cs="Arial"/>
        </w:rPr>
        <w:t>Center</w:t>
      </w:r>
      <w:proofErr w:type="spellEnd"/>
      <w:r w:rsidRPr="00C22B79">
        <w:rPr>
          <w:rFonts w:ascii="Arial" w:hAnsi="Arial" w:cs="Arial"/>
        </w:rPr>
        <w:t xml:space="preserve"> for the New South (PCNS)_. Available </w:t>
      </w:r>
      <w:r w:rsidRPr="00C22B79">
        <w:rPr>
          <w:rFonts w:ascii="Arial" w:hAnsi="Arial" w:cs="Arial"/>
        </w:rPr>
        <w:lastRenderedPageBreak/>
        <w:t>at: </w:t>
      </w:r>
      <w:hyperlink r:id="rId13" w:tgtFrame="_blank" w:history="1">
        <w:r w:rsidRPr="00C22B79">
          <w:rPr>
            <w:rStyle w:val="Hyperlink"/>
            <w:rFonts w:ascii="Arial" w:hAnsi="Arial" w:cs="Arial"/>
          </w:rPr>
          <w:t>https://www.policycenter.ma/sites/default/files/2023-07/PP_13-23%20%28Jaldi%20%29.pdf</w:t>
        </w:r>
      </w:hyperlink>
      <w:r w:rsidRPr="00C22B79">
        <w:rPr>
          <w:rFonts w:ascii="Arial" w:hAnsi="Arial" w:cs="Arial"/>
        </w:rPr>
        <w:t> (Accessed 8 December 2025).</w:t>
      </w:r>
      <w:r w:rsidRPr="00C22B79">
        <w:rPr>
          <w:rFonts w:ascii="Arial" w:hAnsi="Arial" w:cs="Arial"/>
        </w:rPr>
        <w:br/>
        <w:t>9. AUDA-NEPAD. _White Paper: Regulation and Responsible Adoption of AI in Africa Towards Achievement of AU Agenda 2063_.</w:t>
      </w:r>
      <w:r w:rsidRPr="00C22B79">
        <w:rPr>
          <w:rFonts w:ascii="Arial" w:hAnsi="Arial" w:cs="Arial"/>
        </w:rPr>
        <w:br/>
        <w:t>10. UN Special Rapporteur on Contemporary Forms of Racism. (2024). Report on “Artificial Intelligence”, A/HRC/56/68.</w:t>
      </w:r>
      <w:r w:rsidRPr="00C22B79">
        <w:rPr>
          <w:rFonts w:ascii="Arial" w:hAnsi="Arial" w:cs="Arial"/>
        </w:rPr>
        <w:br/>
        <w:t>11. UN AI Advisory Body. (2024). _Interim Report_.</w:t>
      </w:r>
      <w:r w:rsidRPr="00C22B79">
        <w:rPr>
          <w:rFonts w:ascii="Arial" w:hAnsi="Arial" w:cs="Arial"/>
        </w:rPr>
        <w:br/>
        <w:t>12. MISA. (2024). _AI Report on Southern Africa_.</w:t>
      </w:r>
      <w:r w:rsidRPr="00C22B79">
        <w:rPr>
          <w:rFonts w:ascii="Arial" w:hAnsi="Arial" w:cs="Arial"/>
        </w:rPr>
        <w:br/>
        <w:t>13. United Nations General Assembly. (2024). Resolution A/78/L.49 on Artificial Intelligence.</w:t>
      </w:r>
      <w:r w:rsidRPr="00C22B79">
        <w:rPr>
          <w:rFonts w:ascii="Arial" w:hAnsi="Arial" w:cs="Arial"/>
        </w:rPr>
        <w:br/>
        <w:t>14. UN Special Rapporteur on Human Rights and International Solidarity. (2024). Report A/79/170.</w:t>
      </w:r>
      <w:r w:rsidRPr="00C22B79">
        <w:rPr>
          <w:rFonts w:ascii="Arial" w:hAnsi="Arial" w:cs="Arial"/>
        </w:rPr>
        <w:br/>
        <w:t>15. Garcia, D. (2024). _The AI Military Race: Common Good Governance in the Age of Artificial Intelligence_. Oxford University Press.</w:t>
      </w:r>
      <w:r w:rsidRPr="00C22B79">
        <w:rPr>
          <w:rFonts w:ascii="Arial" w:hAnsi="Arial" w:cs="Arial"/>
        </w:rPr>
        <w:br/>
        <w:t>16. Al Jazeera. (2023–2024). Various reports on AI use in conflict.</w:t>
      </w:r>
      <w:r w:rsidRPr="00C22B79">
        <w:rPr>
          <w:rFonts w:ascii="Arial" w:hAnsi="Arial" w:cs="Arial"/>
        </w:rPr>
        <w:br/>
        <w:t>17. The Guardian. (2024). “The machine did it coldly”: Israel used AI to identify 37,000 Hamas targets.</w:t>
      </w:r>
      <w:r w:rsidRPr="00C22B79">
        <w:rPr>
          <w:rFonts w:ascii="Arial" w:hAnsi="Arial" w:cs="Arial"/>
        </w:rPr>
        <w:br/>
        <w:t>18. National Research Project. _Development and Use of Artificial Intelligence in Light of the Negative and Positive Obligations of the State to Guarantee the Right to Life_.</w:t>
      </w:r>
      <w:r w:rsidRPr="00C22B79">
        <w:rPr>
          <w:rFonts w:ascii="Arial" w:hAnsi="Arial" w:cs="Arial"/>
        </w:rPr>
        <w:br/>
        <w:t>19. Heyns, C. (2013). Report of the Special Rapporteur on Extrajudicial, Summary or Arbitrary Executions, A/HRC/23/47.</w:t>
      </w:r>
      <w:r w:rsidRPr="00C22B79">
        <w:rPr>
          <w:rFonts w:ascii="Arial" w:hAnsi="Arial" w:cs="Arial"/>
        </w:rPr>
        <w:br/>
        <w:t>20. CCW/GGE.1/2024/WP.5. _Addressing Bias in Autonomous Weapons_.</w:t>
      </w:r>
      <w:r w:rsidRPr="00C22B79">
        <w:rPr>
          <w:rFonts w:ascii="Arial" w:hAnsi="Arial" w:cs="Arial"/>
        </w:rPr>
        <w:br/>
        <w:t>21. Chengeta, T. (2016–2024). Various works on AI, dignity, and autonomous weapons.</w:t>
      </w:r>
      <w:r w:rsidRPr="00C22B79">
        <w:rPr>
          <w:rFonts w:ascii="Arial" w:hAnsi="Arial" w:cs="Arial"/>
        </w:rPr>
        <w:br/>
      </w:r>
      <w:r w:rsidRPr="00C22B79">
        <w:rPr>
          <w:rFonts w:ascii="Arial" w:hAnsi="Arial" w:cs="Arial"/>
        </w:rPr>
        <w:lastRenderedPageBreak/>
        <w:t xml:space="preserve">22. Emery, J.R. (2020). “Probabilities Towards Death: </w:t>
      </w:r>
      <w:proofErr w:type="spellStart"/>
      <w:r w:rsidRPr="00C22B79">
        <w:rPr>
          <w:rFonts w:ascii="Arial" w:hAnsi="Arial" w:cs="Arial"/>
        </w:rPr>
        <w:t>Bugsplat</w:t>
      </w:r>
      <w:proofErr w:type="spellEnd"/>
      <w:r w:rsidRPr="00C22B79">
        <w:rPr>
          <w:rFonts w:ascii="Arial" w:hAnsi="Arial" w:cs="Arial"/>
        </w:rPr>
        <w:t>, Algorithmic Assassinations, and Ethical Due Care.” _Critical Military Studies_.</w:t>
      </w:r>
      <w:r w:rsidRPr="00C22B79">
        <w:rPr>
          <w:rFonts w:ascii="Arial" w:hAnsi="Arial" w:cs="Arial"/>
        </w:rPr>
        <w:br/>
        <w:t>23. Asaro, P. (2012). “On Banning Autonomous Weapon Systems.” _International Review of the Red Cross_.</w:t>
      </w:r>
      <w:r w:rsidRPr="00C22B79">
        <w:rPr>
          <w:rFonts w:ascii="Arial" w:hAnsi="Arial" w:cs="Arial"/>
        </w:rPr>
        <w:br/>
        <w:t>24. Taddeo, M. &amp; Blanchard, A. (2022). “Accepting Moral Responsibility for the Actions of Autonomous Weapons Systems.” _Philosophy &amp; Technology_, 35(3).</w:t>
      </w:r>
      <w:r w:rsidRPr="00C22B79">
        <w:rPr>
          <w:rFonts w:ascii="Arial" w:hAnsi="Arial" w:cs="Arial"/>
        </w:rPr>
        <w:br/>
        <w:t>25. Warren, A. &amp; Hillas, A. (2017). “Lethal Autonomous Weapons Systems.” _Yale Journal of International Affairs_.</w:t>
      </w:r>
      <w:r w:rsidRPr="00C22B79">
        <w:rPr>
          <w:rFonts w:ascii="Arial" w:hAnsi="Arial" w:cs="Arial"/>
        </w:rPr>
        <w:br/>
        <w:t xml:space="preserve">26. </w:t>
      </w:r>
      <w:proofErr w:type="spellStart"/>
      <w:r w:rsidRPr="00C22B79">
        <w:rPr>
          <w:rFonts w:ascii="Arial" w:hAnsi="Arial" w:cs="Arial"/>
        </w:rPr>
        <w:t>Crootof</w:t>
      </w:r>
      <w:proofErr w:type="spellEnd"/>
      <w:r w:rsidRPr="00C22B79">
        <w:rPr>
          <w:rFonts w:ascii="Arial" w:hAnsi="Arial" w:cs="Arial"/>
        </w:rPr>
        <w:t>, R. (2015). “War Torts: Accountability for Autonomous Weapons.” _University of Pennsylvania Law Review_.</w:t>
      </w:r>
      <w:r w:rsidRPr="00C22B79">
        <w:rPr>
          <w:rFonts w:ascii="Arial" w:hAnsi="Arial" w:cs="Arial"/>
        </w:rPr>
        <w:br/>
        <w:t>27. Seixas-Nunes, A. (2022). _The Legality and Accountability of Autonomous Weapon Systems_. Cambridge University Press.</w:t>
      </w:r>
      <w:r w:rsidRPr="00C22B79">
        <w:rPr>
          <w:rFonts w:ascii="Arial" w:hAnsi="Arial" w:cs="Arial"/>
        </w:rPr>
        <w:br/>
        <w:t xml:space="preserve">28. </w:t>
      </w:r>
      <w:proofErr w:type="spellStart"/>
      <w:r w:rsidRPr="00C22B79">
        <w:rPr>
          <w:rFonts w:ascii="Arial" w:hAnsi="Arial" w:cs="Arial"/>
        </w:rPr>
        <w:t>Ogiemwonyi</w:t>
      </w:r>
      <w:proofErr w:type="spellEnd"/>
      <w:r w:rsidRPr="00C22B79">
        <w:rPr>
          <w:rFonts w:ascii="Arial" w:hAnsi="Arial" w:cs="Arial"/>
        </w:rPr>
        <w:t>, A.E. et al. (2021). “Artificial Intelligence in Africa: Challenges and Opportunities.”</w:t>
      </w:r>
      <w:r w:rsidRPr="00C22B79">
        <w:rPr>
          <w:rFonts w:ascii="Arial" w:hAnsi="Arial" w:cs="Arial"/>
        </w:rPr>
        <w:br/>
        <w:t>29. Korinek, A. &amp; Stiglitz, J.E. (2018). “Artificial Intelligence and Its Implications for Income Distribution and Unemployment.” In _The Economics of Artificial Intelligence: An Agenda_. University of Chicago Press.</w:t>
      </w:r>
      <w:r w:rsidRPr="00C22B79">
        <w:rPr>
          <w:rFonts w:ascii="Arial" w:hAnsi="Arial" w:cs="Arial"/>
        </w:rPr>
        <w:br/>
        <w:t xml:space="preserve">30. </w:t>
      </w:r>
      <w:proofErr w:type="spellStart"/>
      <w:r w:rsidRPr="00C22B79">
        <w:rPr>
          <w:rFonts w:ascii="Arial" w:hAnsi="Arial" w:cs="Arial"/>
        </w:rPr>
        <w:t>Thaldar</w:t>
      </w:r>
      <w:proofErr w:type="spellEnd"/>
      <w:r w:rsidRPr="00C22B79">
        <w:rPr>
          <w:rFonts w:ascii="Arial" w:hAnsi="Arial" w:cs="Arial"/>
        </w:rPr>
        <w:t>, D. &amp; Naidoo, M. (2021). “AI Inventorship: The Right Decision?” _South Africa Journal of Science_.</w:t>
      </w:r>
      <w:r w:rsidRPr="00C22B79">
        <w:rPr>
          <w:rFonts w:ascii="Arial" w:hAnsi="Arial" w:cs="Arial"/>
        </w:rPr>
        <w:br/>
        <w:t>31. Mitchelle, K. “Me, Myself, and AI.” _Strathmore Law Review_.</w:t>
      </w:r>
      <w:r w:rsidRPr="00C22B79">
        <w:rPr>
          <w:rFonts w:ascii="Arial" w:hAnsi="Arial" w:cs="Arial"/>
        </w:rPr>
        <w:br/>
        <w:t>32. Brown, R.D. (2021). “Property Ownership and the Legal Personhood of Artificial Intelligence.” _Information &amp; Communications Technology Law_.</w:t>
      </w:r>
      <w:r w:rsidRPr="00C22B79">
        <w:rPr>
          <w:rFonts w:ascii="Arial" w:hAnsi="Arial" w:cs="Arial"/>
        </w:rPr>
        <w:br/>
        <w:t>33. Raj, E. et al. (2022). “Precision Farming in Modern Agriculture.” In _Smart Agriculture Automation Using Advanced Technologies_. Springer Singapore.</w:t>
      </w:r>
      <w:r w:rsidRPr="00C22B79">
        <w:rPr>
          <w:rFonts w:ascii="Arial" w:hAnsi="Arial" w:cs="Arial"/>
        </w:rPr>
        <w:br/>
        <w:t xml:space="preserve">34. Liu, Y. et al. (2020). “From Industry 4.0 to Agriculture 4.0.” _IEEE Transactions on </w:t>
      </w:r>
      <w:r w:rsidRPr="00C22B79">
        <w:rPr>
          <w:rFonts w:ascii="Arial" w:hAnsi="Arial" w:cs="Arial"/>
        </w:rPr>
        <w:lastRenderedPageBreak/>
        <w:t>Industrial Informatics_, 17(6).</w:t>
      </w:r>
      <w:r w:rsidRPr="00C22B79">
        <w:rPr>
          <w:rFonts w:ascii="Arial" w:hAnsi="Arial" w:cs="Arial"/>
        </w:rPr>
        <w:br/>
        <w:t xml:space="preserve">35. </w:t>
      </w:r>
      <w:proofErr w:type="spellStart"/>
      <w:r w:rsidRPr="00C22B79">
        <w:rPr>
          <w:rFonts w:ascii="Arial" w:hAnsi="Arial" w:cs="Arial"/>
        </w:rPr>
        <w:t>Dyason</w:t>
      </w:r>
      <w:proofErr w:type="spellEnd"/>
      <w:r w:rsidRPr="00C22B79">
        <w:rPr>
          <w:rFonts w:ascii="Arial" w:hAnsi="Arial" w:cs="Arial"/>
        </w:rPr>
        <w:t>, D. &amp; Graham, S. (2023). “Navigating the Future of Property Professionals.” _Journal of Property Investment &amp; Finance_.</w:t>
      </w:r>
      <w:r w:rsidRPr="00C22B79">
        <w:rPr>
          <w:rFonts w:ascii="Arial" w:hAnsi="Arial" w:cs="Arial"/>
        </w:rPr>
        <w:br/>
        <w:t>36. Adams, R. (2022). “AI in Africa: Key Concerns and Policy Considerations.” Available at: </w:t>
      </w:r>
      <w:hyperlink r:id="rId14" w:tgtFrame="_blank" w:history="1">
        <w:r w:rsidRPr="00C22B79">
          <w:rPr>
            <w:rStyle w:val="Hyperlink"/>
            <w:rFonts w:ascii="Arial" w:hAnsi="Arial" w:cs="Arial"/>
          </w:rPr>
          <w:t>https://afripoli.org/ai-in-africa-key-concerns-and-policy-considerations-for-the-future-of-the-continent</w:t>
        </w:r>
      </w:hyperlink>
      <w:r w:rsidRPr="00C22B79">
        <w:rPr>
          <w:rFonts w:ascii="Arial" w:hAnsi="Arial" w:cs="Arial"/>
        </w:rPr>
        <w:t> (Accessed 8 December 2025).</w:t>
      </w:r>
      <w:r w:rsidRPr="00C22B79">
        <w:rPr>
          <w:rFonts w:ascii="Arial" w:hAnsi="Arial" w:cs="Arial"/>
        </w:rPr>
        <w:br/>
        <w:t>37. Katz, J. _Artificial Whiteness_.</w:t>
      </w:r>
      <w:r w:rsidRPr="00C22B79">
        <w:rPr>
          <w:rFonts w:ascii="Arial" w:hAnsi="Arial" w:cs="Arial"/>
        </w:rPr>
        <w:br/>
        <w:t>38. UN Working Group on African Descent. (2024). Report A/HRC/57/70.</w:t>
      </w:r>
      <w:r w:rsidRPr="00C22B79">
        <w:rPr>
          <w:rFonts w:ascii="Arial" w:hAnsi="Arial" w:cs="Arial"/>
        </w:rPr>
        <w:br/>
        <w:t>39. Niyazov, S. (2019). “AI-Powered Monopolies and the New World Order.”</w:t>
      </w:r>
      <w:r w:rsidRPr="00C22B79">
        <w:rPr>
          <w:rFonts w:ascii="Arial" w:hAnsi="Arial" w:cs="Arial"/>
        </w:rPr>
        <w:br/>
        <w:t>40. Sharma, A. et al. (2024). “The Double-Edged Sword of AI and Industrial Revolution 4.0.” In _Sustainable Technology for Society 5.0_. CRC Press.</w:t>
      </w:r>
      <w:r w:rsidRPr="00C22B79">
        <w:rPr>
          <w:rFonts w:ascii="Arial" w:hAnsi="Arial" w:cs="Arial"/>
        </w:rPr>
        <w:br/>
        <w:t>41. Alonzo, C. (2020). “How Artificial Intelligence Could Widen the Gap Between Rich and Poor Nations.”</w:t>
      </w:r>
      <w:r w:rsidRPr="00C22B79">
        <w:rPr>
          <w:rFonts w:ascii="Arial" w:hAnsi="Arial" w:cs="Arial"/>
        </w:rPr>
        <w:br/>
        <w:t>42. Adeniyi, O.O. (2021). “The Impact of AI on Women’s Job Loss in Africa’s Banking Industry – Focus on Kenya.” _Centre for Intellectual Property and Information Technology Law_.</w:t>
      </w:r>
      <w:r w:rsidRPr="00C22B79">
        <w:rPr>
          <w:rFonts w:ascii="Arial" w:hAnsi="Arial" w:cs="Arial"/>
        </w:rPr>
        <w:br/>
        <w:t>43. Noor, F. et al. (2020). “Future of Jobs and the Challenge of Artificial Intelligence.” _Global Strategic &amp; Security Studies Review_, pp. 32–39.</w:t>
      </w:r>
    </w:p>
    <w:sectPr w:rsidR="00C22B79" w:rsidRPr="00A861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2682" w14:textId="77777777" w:rsidR="000E541D" w:rsidRDefault="000E541D" w:rsidP="00A86101">
      <w:pPr>
        <w:spacing w:after="0" w:line="240" w:lineRule="auto"/>
      </w:pPr>
      <w:r>
        <w:separator/>
      </w:r>
    </w:p>
  </w:endnote>
  <w:endnote w:type="continuationSeparator" w:id="0">
    <w:p w14:paraId="01668082" w14:textId="77777777" w:rsidR="000E541D" w:rsidRDefault="000E541D" w:rsidP="00A8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3631" w14:textId="77777777" w:rsidR="000E541D" w:rsidRDefault="000E541D" w:rsidP="00A86101">
      <w:pPr>
        <w:spacing w:after="0" w:line="240" w:lineRule="auto"/>
      </w:pPr>
      <w:r>
        <w:separator/>
      </w:r>
    </w:p>
  </w:footnote>
  <w:footnote w:type="continuationSeparator" w:id="0">
    <w:p w14:paraId="42D958F8" w14:textId="77777777" w:rsidR="000E541D" w:rsidRDefault="000E541D" w:rsidP="00A86101">
      <w:pPr>
        <w:spacing w:after="0" w:line="240" w:lineRule="auto"/>
      </w:pPr>
      <w:r>
        <w:continuationSeparator/>
      </w:r>
    </w:p>
  </w:footnote>
  <w:footnote w:id="1">
    <w:p w14:paraId="6258F539" w14:textId="67C522B4" w:rsidR="00A86101" w:rsidRDefault="00A86101">
      <w:pPr>
        <w:pStyle w:val="FootnoteText"/>
      </w:pPr>
      <w:r>
        <w:rPr>
          <w:rStyle w:val="FootnoteReference"/>
        </w:rPr>
        <w:footnoteRef/>
      </w:r>
      <w:r>
        <w:t xml:space="preserve"> Greatness Eyonsa Essien LLB (</w:t>
      </w:r>
      <w:proofErr w:type="spellStart"/>
      <w:r>
        <w:t>Unical</w:t>
      </w:r>
      <w:proofErr w:type="spellEnd"/>
      <w:r>
        <w:t>)</w:t>
      </w:r>
      <w:r w:rsidR="004076A8">
        <w:t xml:space="preserve">- Legal Intern, NHRC-The Gambia, </w:t>
      </w:r>
      <w:hyperlink r:id="rId1" w:history="1">
        <w:r w:rsidR="004076A8" w:rsidRPr="00F229B2">
          <w:rPr>
            <w:rStyle w:val="Hyperlink"/>
          </w:rPr>
          <w:t>eyonsagreatness@gmail.com</w:t>
        </w:r>
      </w:hyperlink>
      <w:r w:rsidR="004076A8">
        <w:t xml:space="preserve"> </w:t>
      </w:r>
    </w:p>
  </w:footnote>
  <w:footnote w:id="2">
    <w:p w14:paraId="4633A5EA" w14:textId="4AE6B206" w:rsidR="004076A8" w:rsidRDefault="004076A8">
      <w:pPr>
        <w:pStyle w:val="FootnoteText"/>
      </w:pPr>
      <w:r>
        <w:rPr>
          <w:rStyle w:val="FootnoteReference"/>
        </w:rPr>
        <w:footnoteRef/>
      </w:r>
      <w:r>
        <w:t xml:space="preserve"> Draft </w:t>
      </w:r>
      <w:proofErr w:type="spellStart"/>
      <w:r>
        <w:t>achpr</w:t>
      </w:r>
      <w:proofErr w:type="spellEnd"/>
      <w:r>
        <w:t xml:space="preserve"> ai study at </w:t>
      </w:r>
      <w:hyperlink r:id="rId2" w:tgtFrame="_blank" w:history="1">
        <w:r w:rsidRPr="004076A8">
          <w:rPr>
            <w:rStyle w:val="Hyperlink"/>
          </w:rPr>
          <w:t>https://share.google/s7zlRT8qE21qef90R</w:t>
        </w:r>
      </w:hyperlink>
      <w:r>
        <w:t xml:space="preserve"> </w:t>
      </w:r>
      <w:r w:rsidR="000E1D7D">
        <w:t xml:space="preserve">(accessed </w:t>
      </w:r>
      <w:r>
        <w:t>24th November, 2025</w:t>
      </w:r>
      <w:r w:rsidR="000E1D7D">
        <w:t>)</w:t>
      </w:r>
      <w:r>
        <w:t xml:space="preserve">. </w:t>
      </w:r>
    </w:p>
  </w:footnote>
  <w:footnote w:id="3">
    <w:p w14:paraId="6149E1F1" w14:textId="5A9E9439" w:rsidR="004076A8" w:rsidRDefault="004076A8">
      <w:pPr>
        <w:pStyle w:val="FootnoteText"/>
      </w:pPr>
      <w:r>
        <w:rPr>
          <w:rStyle w:val="FootnoteReference"/>
        </w:rPr>
        <w:footnoteRef/>
      </w:r>
      <w:r>
        <w:t xml:space="preserve"> Ibid. </w:t>
      </w:r>
    </w:p>
  </w:footnote>
  <w:footnote w:id="4">
    <w:p w14:paraId="3979AD89" w14:textId="38707A86" w:rsidR="004076A8" w:rsidRDefault="004076A8">
      <w:pPr>
        <w:pStyle w:val="FootnoteText"/>
      </w:pPr>
      <w:r>
        <w:rPr>
          <w:rStyle w:val="FootnoteReference"/>
        </w:rPr>
        <w:footnoteRef/>
      </w:r>
      <w:r>
        <w:t xml:space="preserve"> </w:t>
      </w:r>
      <w:proofErr w:type="spellStart"/>
      <w:r w:rsidRPr="004076A8">
        <w:t>Gwagwa</w:t>
      </w:r>
      <w:proofErr w:type="spellEnd"/>
      <w:r w:rsidRPr="004076A8">
        <w:t>, A., Kraemer-Mbula, E., Rizk, N., Rutenberg, I. &amp; De Beer, J. ‘Artificial intelligence (AI) deployments in Africa: Benefits, challenges and policy dimensions’ The African Journal of Information and Communication 2020, 26, 1–28 p. 4.</w:t>
      </w:r>
    </w:p>
  </w:footnote>
  <w:footnote w:id="5">
    <w:p w14:paraId="08CBD86B" w14:textId="1DC8440D" w:rsidR="000E1D7D" w:rsidRDefault="000E1D7D">
      <w:pPr>
        <w:pStyle w:val="FootnoteText"/>
      </w:pPr>
      <w:r>
        <w:rPr>
          <w:rStyle w:val="FootnoteReference"/>
        </w:rPr>
        <w:footnoteRef/>
      </w:r>
      <w:r>
        <w:t xml:space="preserve"> Ibid, p.13.</w:t>
      </w:r>
    </w:p>
  </w:footnote>
  <w:footnote w:id="6">
    <w:p w14:paraId="601FF8AB" w14:textId="1FC64568" w:rsidR="000E1D7D" w:rsidRDefault="000E1D7D">
      <w:pPr>
        <w:pStyle w:val="FootnoteText"/>
      </w:pPr>
      <w:r>
        <w:rPr>
          <w:rStyle w:val="FootnoteReference"/>
        </w:rPr>
        <w:footnoteRef/>
      </w:r>
      <w:r>
        <w:t xml:space="preserve"> </w:t>
      </w:r>
      <w:r w:rsidRPr="000E1D7D">
        <w:t xml:space="preserve">See Idoko, N. ‘Tech Hubs in Africa Leading Innovative Change’ (2024) at </w:t>
      </w:r>
      <w:hyperlink r:id="rId3" w:history="1">
        <w:r w:rsidRPr="00F229B2">
          <w:rPr>
            <w:rStyle w:val="Hyperlink"/>
          </w:rPr>
          <w:t>https://nicholasidoko.com/blog/category/africa/</w:t>
        </w:r>
      </w:hyperlink>
      <w:r>
        <w:t xml:space="preserve"> (accessed 24</w:t>
      </w:r>
      <w:r w:rsidRPr="000E1D7D">
        <w:rPr>
          <w:vertAlign w:val="superscript"/>
        </w:rPr>
        <w:t>th</w:t>
      </w:r>
      <w:r>
        <w:t xml:space="preserve"> November, 2025). </w:t>
      </w:r>
    </w:p>
  </w:footnote>
  <w:footnote w:id="7">
    <w:p w14:paraId="41BA7E79" w14:textId="1035372B" w:rsidR="003813C6" w:rsidRDefault="003813C6">
      <w:pPr>
        <w:pStyle w:val="FootnoteText"/>
      </w:pPr>
      <w:r>
        <w:rPr>
          <w:rStyle w:val="FootnoteReference"/>
        </w:rPr>
        <w:footnoteRef/>
      </w:r>
      <w:r>
        <w:t xml:space="preserve"> </w:t>
      </w:r>
      <w:r w:rsidRPr="003813C6">
        <w:t xml:space="preserve">See Temidayo, O. ‘The AI Industry in Africa: The booming startups and indigenous AI promotion organisations’ </w:t>
      </w:r>
      <w:proofErr w:type="spellStart"/>
      <w:r w:rsidRPr="003813C6">
        <w:t>DigiLaw</w:t>
      </w:r>
      <w:proofErr w:type="spellEnd"/>
      <w:r w:rsidRPr="003813C6">
        <w:t xml:space="preserve"> 4 March 2020 at</w:t>
      </w:r>
      <w:r>
        <w:t xml:space="preserve"> </w:t>
      </w:r>
      <w:r w:rsidRPr="003813C6">
        <w:t>https://medium.com/@DigiLawNG/the-ai-industry-in-africa-the-booming-startups-and-indigenous-ai-promotion-organisatio ns-25d605f51d9b</w:t>
      </w:r>
      <w:r>
        <w:t xml:space="preserve"> (accessed 24</w:t>
      </w:r>
      <w:r w:rsidRPr="003813C6">
        <w:rPr>
          <w:vertAlign w:val="superscript"/>
        </w:rPr>
        <w:t>th</w:t>
      </w:r>
      <w:r>
        <w:t xml:space="preserve"> November, 2025).  </w:t>
      </w:r>
    </w:p>
  </w:footnote>
  <w:footnote w:id="8">
    <w:p w14:paraId="2C776299" w14:textId="257AE2A5" w:rsidR="003813C6" w:rsidRDefault="003813C6">
      <w:pPr>
        <w:pStyle w:val="FootnoteText"/>
      </w:pPr>
      <w:r>
        <w:rPr>
          <w:rStyle w:val="FootnoteReference"/>
        </w:rPr>
        <w:footnoteRef/>
      </w:r>
      <w:r>
        <w:t xml:space="preserve"> </w:t>
      </w:r>
      <w:r w:rsidRPr="003813C6">
        <w:t xml:space="preserve">See </w:t>
      </w:r>
      <w:proofErr w:type="spellStart"/>
      <w:r w:rsidRPr="003813C6">
        <w:t>Gwagwa</w:t>
      </w:r>
      <w:proofErr w:type="spellEnd"/>
      <w:r w:rsidRPr="003813C6">
        <w:t xml:space="preserve"> et al. (note </w:t>
      </w:r>
      <w:r>
        <w:t>4</w:t>
      </w:r>
      <w:r w:rsidRPr="003813C6">
        <w:t xml:space="preserve"> above) at 3.</w:t>
      </w:r>
    </w:p>
  </w:footnote>
  <w:footnote w:id="9">
    <w:p w14:paraId="30C99717" w14:textId="6F1C47FB" w:rsidR="003813C6" w:rsidRDefault="003813C6">
      <w:pPr>
        <w:pStyle w:val="FootnoteText"/>
      </w:pPr>
      <w:r>
        <w:rPr>
          <w:rStyle w:val="FootnoteReference"/>
        </w:rPr>
        <w:footnoteRef/>
      </w:r>
      <w:r>
        <w:t xml:space="preserve"> </w:t>
      </w:r>
      <w:r w:rsidRPr="003813C6">
        <w:t xml:space="preserve">See </w:t>
      </w:r>
      <w:proofErr w:type="spellStart"/>
      <w:r w:rsidRPr="003813C6">
        <w:t>Chinganya</w:t>
      </w:r>
      <w:proofErr w:type="spellEnd"/>
      <w:r w:rsidRPr="003813C6">
        <w:t>, O. ‘The Future of AI in Statistics in Africa: Is the Continent Ready</w:t>
      </w:r>
      <w:r w:rsidR="00B977B5">
        <w:t xml:space="preserve">? </w:t>
      </w:r>
      <w:r w:rsidRPr="003813C6">
        <w:t>’</w:t>
      </w:r>
      <w:proofErr w:type="gramStart"/>
      <w:r w:rsidRPr="003813C6">
        <w:t xml:space="preserve">at </w:t>
      </w:r>
      <w:r>
        <w:t xml:space="preserve"> </w:t>
      </w:r>
      <w:r w:rsidRPr="003813C6">
        <w:t>https://www.isi-web.org/article/future-ai</w:t>
      </w:r>
      <w:proofErr w:type="gramEnd"/>
      <w:r w:rsidRPr="003813C6">
        <w:t xml:space="preserve"> statistics-</w:t>
      </w:r>
      <w:proofErr w:type="spellStart"/>
      <w:r w:rsidRPr="003813C6">
        <w:t>africa</w:t>
      </w:r>
      <w:proofErr w:type="spellEnd"/>
      <w:r w:rsidRPr="003813C6">
        <w:t>-continent-ready</w:t>
      </w:r>
      <w:r w:rsidR="00B977B5">
        <w:t xml:space="preserve"> (accessed 24</w:t>
      </w:r>
      <w:r w:rsidR="00B977B5" w:rsidRPr="00B977B5">
        <w:rPr>
          <w:vertAlign w:val="superscript"/>
        </w:rPr>
        <w:t>th</w:t>
      </w:r>
      <w:r w:rsidR="00B977B5">
        <w:t xml:space="preserve"> November, 2025).</w:t>
      </w:r>
    </w:p>
  </w:footnote>
  <w:footnote w:id="10">
    <w:p w14:paraId="41D5BBCA" w14:textId="17623DFF" w:rsidR="00B977B5" w:rsidRDefault="00B977B5">
      <w:pPr>
        <w:pStyle w:val="FootnoteText"/>
      </w:pPr>
      <w:r>
        <w:rPr>
          <w:rStyle w:val="FootnoteReference"/>
        </w:rPr>
        <w:footnoteRef/>
      </w:r>
      <w:r>
        <w:t xml:space="preserve"> Ibid at 6. </w:t>
      </w:r>
    </w:p>
  </w:footnote>
  <w:footnote w:id="11">
    <w:p w14:paraId="50398C01" w14:textId="7A92B7A4" w:rsidR="00B977B5" w:rsidRDefault="00B977B5">
      <w:pPr>
        <w:pStyle w:val="FootnoteText"/>
      </w:pPr>
      <w:r>
        <w:rPr>
          <w:rStyle w:val="FootnoteReference"/>
        </w:rPr>
        <w:footnoteRef/>
      </w:r>
      <w:r>
        <w:t xml:space="preserve"> </w:t>
      </w:r>
      <w:r w:rsidRPr="00B977B5">
        <w:t>CIPIT ‘State of AI in Africa Report 2023’ at</w:t>
      </w:r>
      <w:r>
        <w:t xml:space="preserve"> </w:t>
      </w:r>
      <w:r w:rsidRPr="00B977B5">
        <w:t>https://cipit.strathmore.edu/wp-content/uploads/2023/05/The-State-of-AI-in-Africa Report-2023-min.pdf</w:t>
      </w:r>
      <w:r>
        <w:t xml:space="preserve"> (accessed 24</w:t>
      </w:r>
      <w:r w:rsidRPr="00B977B5">
        <w:rPr>
          <w:vertAlign w:val="superscript"/>
        </w:rPr>
        <w:t>th</w:t>
      </w:r>
      <w:r>
        <w:t xml:space="preserve"> November, 2025).  </w:t>
      </w:r>
    </w:p>
  </w:footnote>
  <w:footnote w:id="12">
    <w:p w14:paraId="19585FA7" w14:textId="4C064AA7" w:rsidR="00B977B5" w:rsidRDefault="00B977B5">
      <w:pPr>
        <w:pStyle w:val="FootnoteText"/>
      </w:pPr>
      <w:r>
        <w:rPr>
          <w:rStyle w:val="FootnoteReference"/>
        </w:rPr>
        <w:footnoteRef/>
      </w:r>
      <w:r>
        <w:t xml:space="preserve"> </w:t>
      </w:r>
      <w:r w:rsidRPr="00B977B5">
        <w:t xml:space="preserve">Jaldi, A. ‘Artificial Intelligence Revolution in Africa: Economic Opportunities and Legal Challenges’ Policy </w:t>
      </w:r>
      <w:proofErr w:type="spellStart"/>
      <w:r w:rsidRPr="00B977B5">
        <w:t>Center</w:t>
      </w:r>
      <w:proofErr w:type="spellEnd"/>
      <w:r w:rsidRPr="00B977B5">
        <w:t xml:space="preserve"> for the New South (PCNS) 2023, at https://www.policycenter.ma/sites/default/files/2023-07/PP_13-23%20%28Jaldi%20%29.pdf </w:t>
      </w:r>
      <w:r>
        <w:t>(accessed 24</w:t>
      </w:r>
      <w:r w:rsidRPr="00B977B5">
        <w:rPr>
          <w:vertAlign w:val="superscript"/>
        </w:rPr>
        <w:t>th</w:t>
      </w:r>
      <w:r>
        <w:t xml:space="preserve"> November, 2025). </w:t>
      </w:r>
    </w:p>
  </w:footnote>
  <w:footnote w:id="13">
    <w:p w14:paraId="12906C20" w14:textId="2D54A194" w:rsidR="00B977B5" w:rsidRDefault="00B977B5">
      <w:pPr>
        <w:pStyle w:val="FootnoteText"/>
      </w:pPr>
      <w:r>
        <w:rPr>
          <w:rStyle w:val="FootnoteReference"/>
        </w:rPr>
        <w:footnoteRef/>
      </w:r>
      <w:r>
        <w:t xml:space="preserve"> Ibid. </w:t>
      </w:r>
    </w:p>
  </w:footnote>
  <w:footnote w:id="14">
    <w:p w14:paraId="70DBE848" w14:textId="11FC73FA" w:rsidR="00B977B5" w:rsidRDefault="00B977B5">
      <w:pPr>
        <w:pStyle w:val="FootnoteText"/>
      </w:pPr>
      <w:r>
        <w:rPr>
          <w:rStyle w:val="FootnoteReference"/>
        </w:rPr>
        <w:footnoteRef/>
      </w:r>
      <w:r>
        <w:t xml:space="preserve"> Ibid. </w:t>
      </w:r>
    </w:p>
  </w:footnote>
  <w:footnote w:id="15">
    <w:p w14:paraId="4693CD08" w14:textId="2E4B58BE" w:rsidR="00C675A7" w:rsidRDefault="00C675A7">
      <w:pPr>
        <w:pStyle w:val="FootnoteText"/>
      </w:pPr>
      <w:r>
        <w:rPr>
          <w:rStyle w:val="FootnoteReference"/>
        </w:rPr>
        <w:footnoteRef/>
      </w:r>
      <w:r>
        <w:t xml:space="preserve"> </w:t>
      </w:r>
      <w:r w:rsidRPr="00C675A7">
        <w:t xml:space="preserve">African Charter, Article </w:t>
      </w:r>
      <w:proofErr w:type="gramStart"/>
      <w:r w:rsidRPr="00C675A7">
        <w:t>5 ;</w:t>
      </w:r>
      <w:proofErr w:type="gramEnd"/>
      <w:r w:rsidRPr="00C675A7">
        <w:t xml:space="preserve"> Preamble, African Charter.</w:t>
      </w:r>
    </w:p>
  </w:footnote>
  <w:footnote w:id="16">
    <w:p w14:paraId="5C65DE29" w14:textId="030F9E24" w:rsidR="00902D6A" w:rsidRDefault="00902D6A">
      <w:pPr>
        <w:pStyle w:val="FootnoteText"/>
      </w:pPr>
      <w:r>
        <w:rPr>
          <w:rStyle w:val="FootnoteReference"/>
        </w:rPr>
        <w:footnoteRef/>
      </w:r>
      <w:r>
        <w:t xml:space="preserve"> </w:t>
      </w:r>
      <w:r w:rsidRPr="00902D6A">
        <w:t>Article 5, African Charter.</w:t>
      </w:r>
    </w:p>
  </w:footnote>
  <w:footnote w:id="17">
    <w:p w14:paraId="3DE63943" w14:textId="6C7653D6" w:rsidR="00EA3136" w:rsidRDefault="00EA3136">
      <w:pPr>
        <w:pStyle w:val="FootnoteText"/>
      </w:pPr>
      <w:r>
        <w:rPr>
          <w:rStyle w:val="FootnoteReference"/>
        </w:rPr>
        <w:footnoteRef/>
      </w:r>
      <w:r>
        <w:t xml:space="preserve"> </w:t>
      </w:r>
      <w:r w:rsidRPr="00EA3136">
        <w:t>See African constitutions; ICCPR; Genocide Convention; CEDAW; CAT.</w:t>
      </w:r>
    </w:p>
  </w:footnote>
  <w:footnote w:id="18">
    <w:p w14:paraId="5CB676FE" w14:textId="722CB423" w:rsidR="00035CAA" w:rsidRDefault="00035CAA">
      <w:pPr>
        <w:pStyle w:val="FootnoteText"/>
      </w:pPr>
      <w:r>
        <w:rPr>
          <w:rStyle w:val="FootnoteReference"/>
        </w:rPr>
        <w:footnoteRef/>
      </w:r>
      <w:r>
        <w:t xml:space="preserve"> See Draft </w:t>
      </w:r>
      <w:proofErr w:type="spellStart"/>
      <w:r>
        <w:t>achpr</w:t>
      </w:r>
      <w:proofErr w:type="spellEnd"/>
      <w:r>
        <w:t xml:space="preserve"> ai study (note 2</w:t>
      </w:r>
      <w:r w:rsidR="0049726C">
        <w:t xml:space="preserve"> above) at 39.</w:t>
      </w:r>
    </w:p>
  </w:footnote>
  <w:footnote w:id="19">
    <w:p w14:paraId="25DB576A" w14:textId="231C1492" w:rsidR="00E0539E" w:rsidRDefault="00E0539E">
      <w:pPr>
        <w:pStyle w:val="FootnoteText"/>
      </w:pPr>
      <w:r>
        <w:rPr>
          <w:rStyle w:val="FootnoteReference"/>
        </w:rPr>
        <w:footnoteRef/>
      </w:r>
      <w:r>
        <w:t xml:space="preserve"> Ibid.</w:t>
      </w:r>
    </w:p>
  </w:footnote>
  <w:footnote w:id="20">
    <w:p w14:paraId="0BE038B6" w14:textId="2ABAE168" w:rsidR="00DF752A" w:rsidRDefault="00DF752A">
      <w:pPr>
        <w:pStyle w:val="FootnoteText"/>
      </w:pPr>
      <w:r>
        <w:rPr>
          <w:rStyle w:val="FootnoteReference"/>
        </w:rPr>
        <w:footnoteRef/>
      </w:r>
      <w:r>
        <w:t xml:space="preserve"> </w:t>
      </w:r>
      <w:r w:rsidRPr="00DF752A">
        <w:t xml:space="preserve">Open Society Justice Initiative v </w:t>
      </w:r>
      <w:r w:rsidRPr="00DF752A">
        <w:t xml:space="preserve">Côte d’Ivoire, Communication 318/06, African Commission on Human and Peoples’ Rights, 17th extraordinary session (2015) para 139; See also, Institute for Human Rights and Development in Africa (on behalf of </w:t>
      </w:r>
      <w:proofErr w:type="spellStart"/>
      <w:r w:rsidRPr="00DF752A">
        <w:t>Esmaila</w:t>
      </w:r>
      <w:proofErr w:type="spellEnd"/>
      <w:r w:rsidRPr="00DF752A">
        <w:t xml:space="preserve"> Connateh &amp; 13 others) v Angola, Communication 292/04, para 49; Purohit &amp; Moore v Gambia, ACHPR communication no 241/2001; The Nubian Community in Kenya v The Republic of Kenya, ACHPR, Communication 317/06; Open Society Justice Initiative v Côte d’Ivoire, ACHPR, Communication 318/06.</w:t>
      </w:r>
    </w:p>
  </w:footnote>
  <w:footnote w:id="21">
    <w:p w14:paraId="11DB5405" w14:textId="11C68843" w:rsidR="00CF711F" w:rsidRDefault="00CF711F">
      <w:pPr>
        <w:pStyle w:val="FootnoteText"/>
      </w:pPr>
      <w:r>
        <w:rPr>
          <w:rStyle w:val="FootnoteReference"/>
        </w:rPr>
        <w:footnoteRef/>
      </w:r>
      <w:r>
        <w:t xml:space="preserve"> </w:t>
      </w:r>
      <w:r w:rsidRPr="00CF711F">
        <w:t>M Mutua, "Human rights in Africa: the</w:t>
      </w:r>
      <w:r w:rsidRPr="00CF711F">
        <w:t xml:space="preserve"> limited promise of liberalism" (2008) African Studies Review 17-39; A Barak, Human dignity (Cambridge University Press, 2015) xxiv; TA Geyale, The role of human dignity in the jurisprudence of the African Commission on human and peoples’ rights (2021) 5 African Human Rights Yearbook 133.</w:t>
      </w:r>
    </w:p>
  </w:footnote>
  <w:footnote w:id="22">
    <w:p w14:paraId="08CB773D" w14:textId="430BDE6A" w:rsidR="00BE4098" w:rsidRDefault="00BE4098">
      <w:pPr>
        <w:pStyle w:val="FootnoteText"/>
      </w:pPr>
      <w:r>
        <w:rPr>
          <w:rStyle w:val="FootnoteReference"/>
        </w:rPr>
        <w:footnoteRef/>
      </w:r>
      <w:r>
        <w:t xml:space="preserve"> See Draft achpr </w:t>
      </w:r>
      <w:r>
        <w:t>ai study (note 2 above) at 40.</w:t>
      </w:r>
    </w:p>
  </w:footnote>
  <w:footnote w:id="23">
    <w:p w14:paraId="060DEE51" w14:textId="12831E22" w:rsidR="00EC6F51" w:rsidRDefault="00EC6F51">
      <w:pPr>
        <w:pStyle w:val="FootnoteText"/>
      </w:pPr>
      <w:r>
        <w:rPr>
          <w:rStyle w:val="FootnoteReference"/>
        </w:rPr>
        <w:footnoteRef/>
      </w:r>
      <w:r>
        <w:t xml:space="preserve"> Ibid. </w:t>
      </w:r>
    </w:p>
  </w:footnote>
  <w:footnote w:id="24">
    <w:p w14:paraId="4D4B1EC6" w14:textId="39989520" w:rsidR="00EC6F51" w:rsidRDefault="00EC6F51">
      <w:pPr>
        <w:pStyle w:val="FootnoteText"/>
      </w:pPr>
      <w:r>
        <w:rPr>
          <w:rStyle w:val="FootnoteReference"/>
        </w:rPr>
        <w:footnoteRef/>
      </w:r>
      <w:r>
        <w:t xml:space="preserve"> Ibid. </w:t>
      </w:r>
    </w:p>
  </w:footnote>
  <w:footnote w:id="25">
    <w:p w14:paraId="2E1DE2E8" w14:textId="7FBF458A" w:rsidR="00055DC8" w:rsidRDefault="00055DC8">
      <w:pPr>
        <w:pStyle w:val="FootnoteText"/>
      </w:pPr>
      <w:r>
        <w:rPr>
          <w:rStyle w:val="FootnoteReference"/>
        </w:rPr>
        <w:footnoteRef/>
      </w:r>
      <w:r>
        <w:t xml:space="preserve"> Ibid. </w:t>
      </w:r>
    </w:p>
  </w:footnote>
  <w:footnote w:id="26">
    <w:p w14:paraId="69F14E85" w14:textId="1301D7C3" w:rsidR="00362BDC" w:rsidRDefault="00362BDC">
      <w:pPr>
        <w:pStyle w:val="FootnoteText"/>
      </w:pPr>
      <w:r>
        <w:rPr>
          <w:rStyle w:val="FootnoteReference"/>
        </w:rPr>
        <w:footnoteRef/>
      </w:r>
      <w:r>
        <w:t xml:space="preserve"> </w:t>
      </w:r>
      <w:r w:rsidRPr="00362BDC">
        <w:t xml:space="preserve">African Commission, “Multi-stakeholder consultation meeting on the African Commission Study on AI” (30 September to 1 October 2024); see </w:t>
      </w:r>
      <w:r w:rsidRPr="00362BDC">
        <w:t>also S Kanuck, “</w:t>
      </w:r>
      <w:proofErr w:type="spellStart"/>
      <w:r w:rsidRPr="00362BDC">
        <w:t>Humor</w:t>
      </w:r>
      <w:proofErr w:type="spellEnd"/>
      <w:r w:rsidRPr="00362BDC">
        <w:t xml:space="preserve">, ethics, and dignity: Being Human in the age of artificial intelligence” (2019) 33 Ethics &amp; International Affairs 4; KO </w:t>
      </w:r>
      <w:proofErr w:type="spellStart"/>
      <w:r w:rsidRPr="00362BDC">
        <w:t>Alakwe</w:t>
      </w:r>
      <w:proofErr w:type="spellEnd"/>
      <w:r w:rsidRPr="00362BDC">
        <w:t>, “Human dignity in the era of artificial intelligence and robotics: Issues and prospects” (2023) Journal of Humanities and Social Sciences Studies 88.</w:t>
      </w:r>
    </w:p>
  </w:footnote>
  <w:footnote w:id="27">
    <w:p w14:paraId="2C94774B" w14:textId="06445C61" w:rsidR="004A243C" w:rsidRDefault="004A243C">
      <w:pPr>
        <w:pStyle w:val="FootnoteText"/>
      </w:pPr>
      <w:r>
        <w:rPr>
          <w:rStyle w:val="FootnoteReference"/>
        </w:rPr>
        <w:footnoteRef/>
      </w:r>
      <w:r>
        <w:t xml:space="preserve"> </w:t>
      </w:r>
      <w:r w:rsidRPr="004A243C">
        <w:t>See Articles 2,3,19 and 20 of the African Charter.</w:t>
      </w:r>
    </w:p>
  </w:footnote>
  <w:footnote w:id="28">
    <w:p w14:paraId="23456FA6" w14:textId="33247A84" w:rsidR="00C620EA" w:rsidRDefault="00C620EA">
      <w:pPr>
        <w:pStyle w:val="FootnoteText"/>
      </w:pPr>
      <w:r>
        <w:rPr>
          <w:rStyle w:val="FootnoteReference"/>
        </w:rPr>
        <w:footnoteRef/>
      </w:r>
      <w:r>
        <w:t xml:space="preserve"> </w:t>
      </w:r>
      <w:r w:rsidRPr="00C620EA">
        <w:t>Nubian Community in Kenya v The</w:t>
      </w:r>
      <w:r w:rsidRPr="00C620EA">
        <w:t xml:space="preserve"> Republic of Kenya, ACHPR, Communication 317/06, paras 126 and 131.</w:t>
      </w:r>
    </w:p>
  </w:footnote>
  <w:footnote w:id="29">
    <w:p w14:paraId="0B29E23A" w14:textId="0E934A58" w:rsidR="00634753" w:rsidRDefault="00634753">
      <w:pPr>
        <w:pStyle w:val="FootnoteText"/>
      </w:pPr>
      <w:r>
        <w:rPr>
          <w:rStyle w:val="FootnoteReference"/>
        </w:rPr>
        <w:footnoteRef/>
      </w:r>
      <w:r>
        <w:t xml:space="preserve"> </w:t>
      </w:r>
      <w:r w:rsidRPr="00634753">
        <w:t xml:space="preserve">AUDA-NEPAD White Paper: </w:t>
      </w:r>
      <w:r w:rsidRPr="00634753">
        <w:t>Regulation and Responsible Adoption of AI in Africa Towards Achievement of AU Agenda 2063, p. 31.</w:t>
      </w:r>
    </w:p>
  </w:footnote>
  <w:footnote w:id="30">
    <w:p w14:paraId="47C5DF8E" w14:textId="27F9E662" w:rsidR="00462E3A" w:rsidRDefault="00462E3A">
      <w:pPr>
        <w:pStyle w:val="FootnoteText"/>
      </w:pPr>
      <w:r>
        <w:rPr>
          <w:rStyle w:val="FootnoteReference"/>
        </w:rPr>
        <w:footnoteRef/>
      </w:r>
      <w:r>
        <w:t xml:space="preserve"> </w:t>
      </w:r>
      <w:r w:rsidRPr="00462E3A">
        <w:t>AUDA-NEPAD Whitepaper (above) 140, 141; African Commission, Multistakeholder consultation meeting, Kigali (above).</w:t>
      </w:r>
    </w:p>
  </w:footnote>
  <w:footnote w:id="31">
    <w:p w14:paraId="1B4B1AEA" w14:textId="77809DE2" w:rsidR="0073261B" w:rsidRDefault="0073261B">
      <w:pPr>
        <w:pStyle w:val="FootnoteText"/>
      </w:pPr>
      <w:r>
        <w:rPr>
          <w:rStyle w:val="FootnoteReference"/>
        </w:rPr>
        <w:footnoteRef/>
      </w:r>
      <w:r>
        <w:t xml:space="preserve"> </w:t>
      </w:r>
      <w:r w:rsidRPr="0073261B">
        <w:t>AUDA-NEPAD Whitepaper (above) 180.</w:t>
      </w:r>
    </w:p>
  </w:footnote>
  <w:footnote w:id="32">
    <w:p w14:paraId="1C945DA2" w14:textId="70410E75" w:rsidR="00203809" w:rsidRDefault="00203809">
      <w:pPr>
        <w:pStyle w:val="FootnoteText"/>
      </w:pPr>
      <w:r>
        <w:rPr>
          <w:rStyle w:val="FootnoteReference"/>
        </w:rPr>
        <w:footnoteRef/>
      </w:r>
      <w:r>
        <w:t xml:space="preserve"> </w:t>
      </w:r>
      <w:r w:rsidRPr="00203809">
        <w:t>AUDA-NEPAD Whitepaper (above) 34.</w:t>
      </w:r>
    </w:p>
  </w:footnote>
  <w:footnote w:id="33">
    <w:p w14:paraId="4BEAF4CE" w14:textId="201211E2" w:rsidR="0023673B" w:rsidRDefault="0023673B">
      <w:pPr>
        <w:pStyle w:val="FootnoteText"/>
      </w:pPr>
      <w:r>
        <w:rPr>
          <w:rStyle w:val="FootnoteReference"/>
        </w:rPr>
        <w:footnoteRef/>
      </w:r>
      <w:r>
        <w:t xml:space="preserve"> </w:t>
      </w:r>
      <w:r w:rsidRPr="0023673B">
        <w:t xml:space="preserve">A/HRC/56/68, UN Special Rapporteur on Contemporary forms of racism, racial discrimination, xenophobia and related intolerance, Report on </w:t>
      </w:r>
      <w:r w:rsidRPr="0023673B">
        <w:t>“Artificial Intelligence” (2024) paras 5-12; UN AI Advisory Body, Interim Report (above) 2, 4, 11; MISA, AI Report on Southern Africa (2024) 9, 15, 20; A/78/L.49, General Assembly Resolution on Artificial Intelligence, “Seizing the opportunities of safe, secure and trustworthy artificial intelligence systems for sustainable development”(2024), p.6; A/79/170, Report of the UN Special Rapporteur on human rights and international solidarity, Report on “Artificial intelligence and international solidarity – towards human-centred artificial intelligence international solidarity by design” (2024) paras 5-18.</w:t>
      </w:r>
    </w:p>
  </w:footnote>
  <w:footnote w:id="34">
    <w:p w14:paraId="2AE83622" w14:textId="6FB23121" w:rsidR="00FA7323" w:rsidRDefault="00FA7323">
      <w:pPr>
        <w:pStyle w:val="FootnoteText"/>
      </w:pPr>
      <w:r>
        <w:rPr>
          <w:rStyle w:val="FootnoteReference"/>
        </w:rPr>
        <w:footnoteRef/>
      </w:r>
      <w:r>
        <w:t xml:space="preserve"> </w:t>
      </w:r>
      <w:r w:rsidRPr="00FA7323">
        <w:t xml:space="preserve">A/78/L.49, General Assembly Resolution on Artificial Intelligence, “Seizing the opportunities of safe, secure and trustworthy artificial intelligence </w:t>
      </w:r>
      <w:r w:rsidRPr="00FA7323">
        <w:t xml:space="preserve">systems for sustainable </w:t>
      </w:r>
      <w:proofErr w:type="gramStart"/>
      <w:r w:rsidRPr="00FA7323">
        <w:t>development”(</w:t>
      </w:r>
      <w:proofErr w:type="gramEnd"/>
      <w:r w:rsidRPr="00FA7323">
        <w:t>2024), p.6.</w:t>
      </w:r>
    </w:p>
  </w:footnote>
  <w:footnote w:id="35">
    <w:p w14:paraId="19BE0B4B" w14:textId="7A09452A" w:rsidR="007251D2" w:rsidRDefault="007251D2">
      <w:pPr>
        <w:pStyle w:val="FootnoteText"/>
      </w:pPr>
      <w:r>
        <w:rPr>
          <w:rStyle w:val="FootnoteReference"/>
        </w:rPr>
        <w:footnoteRef/>
      </w:r>
      <w:r>
        <w:t xml:space="preserve"> </w:t>
      </w:r>
      <w:r w:rsidRPr="007251D2">
        <w:t>9 AUDA-NEPAD Whitepaper (above) 25, 32, 132, 141; MISA, AI Report on Southern Africa (2024) 19, 26; Adams,</w:t>
      </w:r>
      <w:r w:rsidRPr="007251D2">
        <w:t xml:space="preserve"> The new empire of AI (above).</w:t>
      </w:r>
    </w:p>
  </w:footnote>
  <w:footnote w:id="36">
    <w:p w14:paraId="1E2EFBA4" w14:textId="55E8C8AD" w:rsidR="009F6925" w:rsidRDefault="009F6925">
      <w:pPr>
        <w:pStyle w:val="FootnoteText"/>
      </w:pPr>
      <w:r>
        <w:rPr>
          <w:rStyle w:val="FootnoteReference"/>
        </w:rPr>
        <w:footnoteRef/>
      </w:r>
      <w:r>
        <w:t xml:space="preserve"> </w:t>
      </w:r>
      <w:r w:rsidRPr="009F6925">
        <w:t xml:space="preserve">African Commission, Multistakeholder consultation meeting, Kigali (above); T Chengeta, “The right to non discrimination, and freedom from </w:t>
      </w:r>
      <w:r w:rsidRPr="009F6925">
        <w:t>racial oppression should be part of the guidelines and principles in the discussion on autonomous weapon systems” (above); UN AI Advisory Body, Interim Report (above) para 46.</w:t>
      </w:r>
    </w:p>
  </w:footnote>
  <w:footnote w:id="37">
    <w:p w14:paraId="28728418" w14:textId="20415735" w:rsidR="00773688" w:rsidRDefault="00773688">
      <w:pPr>
        <w:pStyle w:val="FootnoteText"/>
      </w:pPr>
      <w:r>
        <w:rPr>
          <w:rStyle w:val="FootnoteReference"/>
        </w:rPr>
        <w:footnoteRef/>
      </w:r>
      <w:r>
        <w:t xml:space="preserve"> </w:t>
      </w:r>
      <w:r w:rsidRPr="00773688">
        <w:t>General Comment 3 (above), paras 9 and 38.</w:t>
      </w:r>
    </w:p>
  </w:footnote>
  <w:footnote w:id="38">
    <w:p w14:paraId="3700C67F" w14:textId="0F288B68" w:rsidR="006B133B" w:rsidRDefault="006B133B">
      <w:pPr>
        <w:pStyle w:val="FootnoteText"/>
      </w:pPr>
      <w:r>
        <w:rPr>
          <w:rStyle w:val="FootnoteReference"/>
        </w:rPr>
        <w:footnoteRef/>
      </w:r>
      <w:r>
        <w:t xml:space="preserve"> See Draft achpr ai study </w:t>
      </w:r>
      <w:r>
        <w:t>(note 2 above) at</w:t>
      </w:r>
      <w:r w:rsidR="00D856B4">
        <w:t xml:space="preserve"> 43.</w:t>
      </w:r>
    </w:p>
  </w:footnote>
  <w:footnote w:id="39">
    <w:p w14:paraId="08C298B9" w14:textId="2B064C5C" w:rsidR="000A63A7" w:rsidRDefault="000A63A7">
      <w:pPr>
        <w:pStyle w:val="FootnoteText"/>
      </w:pPr>
      <w:r>
        <w:rPr>
          <w:rStyle w:val="FootnoteReference"/>
        </w:rPr>
        <w:footnoteRef/>
      </w:r>
      <w:r>
        <w:t xml:space="preserve"> </w:t>
      </w:r>
      <w:r w:rsidR="00301E91">
        <w:t xml:space="preserve">Ibid. </w:t>
      </w:r>
    </w:p>
  </w:footnote>
  <w:footnote w:id="40">
    <w:p w14:paraId="05D66F20" w14:textId="25C4A70E" w:rsidR="00301E91" w:rsidRDefault="00301E91">
      <w:pPr>
        <w:pStyle w:val="FootnoteText"/>
      </w:pPr>
      <w:r>
        <w:rPr>
          <w:rStyle w:val="FootnoteReference"/>
        </w:rPr>
        <w:footnoteRef/>
      </w:r>
      <w:r>
        <w:t xml:space="preserve"> </w:t>
      </w:r>
      <w:r w:rsidRPr="00301E91">
        <w:t xml:space="preserve">Para </w:t>
      </w:r>
      <w:r w:rsidRPr="00301E91">
        <w:t>12, General Comment 3 (above).</w:t>
      </w:r>
    </w:p>
  </w:footnote>
  <w:footnote w:id="41">
    <w:p w14:paraId="23291EC7" w14:textId="0BFFB039" w:rsidR="007C1F05" w:rsidRDefault="007C1F05">
      <w:pPr>
        <w:pStyle w:val="FootnoteText"/>
      </w:pPr>
      <w:r>
        <w:rPr>
          <w:rStyle w:val="FootnoteReference"/>
        </w:rPr>
        <w:footnoteRef/>
      </w:r>
      <w:r>
        <w:t xml:space="preserve"> </w:t>
      </w:r>
      <w:r w:rsidRPr="007C1F05">
        <w:t xml:space="preserve">Para </w:t>
      </w:r>
      <w:r w:rsidRPr="007C1F05">
        <w:t>14, General Comment 3 (above).</w:t>
      </w:r>
    </w:p>
  </w:footnote>
  <w:footnote w:id="42">
    <w:p w14:paraId="682DB5B8" w14:textId="4DEB93D7" w:rsidR="00846900" w:rsidRDefault="00846900">
      <w:pPr>
        <w:pStyle w:val="FootnoteText"/>
      </w:pPr>
      <w:r>
        <w:rPr>
          <w:rStyle w:val="FootnoteReference"/>
        </w:rPr>
        <w:footnoteRef/>
      </w:r>
      <w:r>
        <w:t xml:space="preserve"> </w:t>
      </w:r>
      <w:r w:rsidRPr="00846900">
        <w:t xml:space="preserve">D Garcia, The AI military race: </w:t>
      </w:r>
      <w:r w:rsidRPr="00846900">
        <w:t>Common good governance in the age of artificial intelligence (Oxford University Press, 2024); Al Jazeera, “The Gospel: Israel turns to a new AI system in the Gaza war”, December, 2023; The Guardian, “The machine did it coldly’: Israel used AI to identify 37,000 Hamas targets” (2024); Al Jazeera, “AI-assisted genocide’: Israel reportedly used database for Gaza kill lists”, April, 2024.</w:t>
      </w:r>
    </w:p>
  </w:footnote>
  <w:footnote w:id="43">
    <w:p w14:paraId="6F58CEFE" w14:textId="49B9EE07" w:rsidR="0026136D" w:rsidRDefault="0026136D">
      <w:pPr>
        <w:pStyle w:val="FootnoteText"/>
      </w:pPr>
      <w:r>
        <w:rPr>
          <w:rStyle w:val="FootnoteReference"/>
        </w:rPr>
        <w:footnoteRef/>
      </w:r>
      <w:r>
        <w:t xml:space="preserve"> </w:t>
      </w:r>
      <w:r w:rsidRPr="0026136D">
        <w:t xml:space="preserve">National Research Project, </w:t>
      </w:r>
      <w:r w:rsidRPr="0026136D">
        <w:t>“Development and use of artificial intelligence in light of the negative and positive obligations of the state to guarantee the right to life”.</w:t>
      </w:r>
    </w:p>
  </w:footnote>
  <w:footnote w:id="44">
    <w:p w14:paraId="5E9DBF2C" w14:textId="4C954A17" w:rsidR="0077751E" w:rsidRDefault="0077751E">
      <w:pPr>
        <w:pStyle w:val="FootnoteText"/>
      </w:pPr>
      <w:r>
        <w:rPr>
          <w:rStyle w:val="FootnoteReference"/>
        </w:rPr>
        <w:footnoteRef/>
      </w:r>
      <w:r>
        <w:t xml:space="preserve"> </w:t>
      </w:r>
      <w:r w:rsidRPr="0077751E">
        <w:t xml:space="preserve">Para 7, General Comment 3 </w:t>
      </w:r>
      <w:r w:rsidRPr="0077751E">
        <w:t>(above), A/HRC/23/47, Report of the Special Rapporteur on extrajudicial, summary, or arbitrary executions, Christof Heyns, 9 April 2013; CCW/GGE.1/2024/WP.5, Addressing Bias in Autonomous Weapons Submitted by Canada, Costa Rica, Germany, Ireland, Mexico, and Panama, Group of Governmental Experts on Emerging Technologies in the Area of Lethal Autonomous Weapons System Geneva, 4-8 March and 26-30 August 2024; Chengeta, AWS and racial oppression (above).</w:t>
      </w:r>
    </w:p>
  </w:footnote>
  <w:footnote w:id="45">
    <w:p w14:paraId="6C771267" w14:textId="44498347" w:rsidR="00DB4F0E" w:rsidRDefault="00DB4F0E">
      <w:pPr>
        <w:pStyle w:val="FootnoteText"/>
      </w:pPr>
      <w:r>
        <w:rPr>
          <w:rStyle w:val="FootnoteReference"/>
        </w:rPr>
        <w:footnoteRef/>
      </w:r>
      <w:r>
        <w:t xml:space="preserve"> </w:t>
      </w:r>
      <w:r w:rsidRPr="00DB4F0E">
        <w:t xml:space="preserve">A/HRC/56/68, UN Special Rapporteur on Contemporary forms of racism, racial discrimination, xenophobia and related intolerance, Report on “Artificial Intelligence” (2024) paras 26-36; Chengeta, AWS and racial oppression (above) 60, 64; JR Emery </w:t>
      </w:r>
      <w:r w:rsidRPr="00DB4F0E">
        <w:t xml:space="preserve">“Probabilities towards death: </w:t>
      </w:r>
      <w:proofErr w:type="spellStart"/>
      <w:r w:rsidRPr="00DB4F0E">
        <w:t>bugsplat</w:t>
      </w:r>
      <w:proofErr w:type="spellEnd"/>
      <w:r w:rsidRPr="00DB4F0E">
        <w:t xml:space="preserve">, algorithmic assassinations, and ethical due </w:t>
      </w:r>
      <w:proofErr w:type="gramStart"/>
      <w:r w:rsidRPr="00DB4F0E">
        <w:t>care”(</w:t>
      </w:r>
      <w:proofErr w:type="gramEnd"/>
      <w:r w:rsidRPr="00DB4F0E">
        <w:t>2020) Critical Military Studies 9-10.</w:t>
      </w:r>
    </w:p>
  </w:footnote>
  <w:footnote w:id="46">
    <w:p w14:paraId="45FBA6A3" w14:textId="74D7AAE0" w:rsidR="008A4BEB" w:rsidRDefault="008A4BEB">
      <w:pPr>
        <w:pStyle w:val="FootnoteText"/>
      </w:pPr>
      <w:r>
        <w:rPr>
          <w:rStyle w:val="FootnoteReference"/>
        </w:rPr>
        <w:footnoteRef/>
      </w:r>
      <w:r>
        <w:t xml:space="preserve"> </w:t>
      </w:r>
      <w:r w:rsidRPr="008A4BEB">
        <w:t>T</w:t>
      </w:r>
      <w:r w:rsidRPr="008A4BEB">
        <w:t xml:space="preserve"> Chengeta, “Dignity, Ubuntu, Humanity and Autonomous Weapon Systems (AWS) Debate: An African Perspective” (2016) 13 Brazilian Journal of International Law 460; C Heyns, “Autonomous weapons in armed conflict and the right to a dignified life: an African perspective” (2017) 33(1) South African Journal on Human Rights 46–71; P Asaro, “On banning autonomous weapon systems: human rights, automation, and the dehumanization of lethal decision-making” (2012) International Review of the Red Cross 687.</w:t>
      </w:r>
    </w:p>
  </w:footnote>
  <w:footnote w:id="47">
    <w:p w14:paraId="301196E1" w14:textId="0E06142D" w:rsidR="0052227A" w:rsidRDefault="0052227A">
      <w:pPr>
        <w:pStyle w:val="FootnoteText"/>
      </w:pPr>
      <w:r>
        <w:rPr>
          <w:rStyle w:val="FootnoteReference"/>
        </w:rPr>
        <w:footnoteRef/>
      </w:r>
      <w:r>
        <w:t xml:space="preserve"> </w:t>
      </w:r>
      <w:r w:rsidRPr="0052227A">
        <w:t xml:space="preserve">5 M Taddeo and A Blanchard, </w:t>
      </w:r>
      <w:r w:rsidRPr="0052227A">
        <w:t>“Accepting moral responsibility for the actions of autonomous weapons systems—a moral gambit” (2022) 35(3) Philosophy &amp; Technology 78.</w:t>
      </w:r>
    </w:p>
  </w:footnote>
  <w:footnote w:id="48">
    <w:p w14:paraId="70D671BC" w14:textId="2ACC39FF" w:rsidR="00E123B9" w:rsidRDefault="00E123B9">
      <w:pPr>
        <w:pStyle w:val="FootnoteText"/>
      </w:pPr>
      <w:r>
        <w:rPr>
          <w:rStyle w:val="FootnoteReference"/>
        </w:rPr>
        <w:footnoteRef/>
      </w:r>
      <w:r>
        <w:t xml:space="preserve"> </w:t>
      </w:r>
      <w:r w:rsidRPr="00E123B9">
        <w:t xml:space="preserve">T Chengeta, “Measuring autonomous weapon systems against international humanitarian law rules” (2016) Vol 5 </w:t>
      </w:r>
      <w:r w:rsidRPr="00E123B9">
        <w:t>Journal of Law and Cyber Warfare.</w:t>
      </w:r>
    </w:p>
  </w:footnote>
  <w:footnote w:id="49">
    <w:p w14:paraId="490D65A5" w14:textId="78BB227A" w:rsidR="006A29B5" w:rsidRDefault="006A29B5">
      <w:pPr>
        <w:pStyle w:val="FootnoteText"/>
      </w:pPr>
      <w:r>
        <w:rPr>
          <w:rStyle w:val="FootnoteReference"/>
        </w:rPr>
        <w:footnoteRef/>
      </w:r>
      <w:r>
        <w:t xml:space="preserve"> </w:t>
      </w:r>
      <w:r w:rsidRPr="006A29B5">
        <w:t xml:space="preserve">A/HRC/56/68, UN Special </w:t>
      </w:r>
      <w:r w:rsidRPr="006A29B5">
        <w:t>Rapporteur on Contemporary forms of racism, racial discrimination, xenophobia and related intolerance, Report on “Artificial Intelligence” (2024) paras 21-25; T Chengeta, “Accountability gap, autonomous weapon systems and modes of responsibility in international law” (2016) Vol 45 Denver Journal of International Law Number 1; A Warren and A Hillas, “Lethal autonomous weapons systems: Adapting to the future unmanned warfare and unaccountable robots” (2017) Yale Journal of International Affairs 71; R Crootof, “War torts: Accountability for autonomous weapons” (2015) U. Pa. L. Rev 164; A Seixas-Nunes, The legality and accountability of autonomous weapon systems: A humanitarian law perspective (Cambridge University Press, 2022).</w:t>
      </w:r>
    </w:p>
  </w:footnote>
  <w:footnote w:id="50">
    <w:p w14:paraId="16312E7C" w14:textId="6E46C82D" w:rsidR="00BD4138" w:rsidRDefault="00BD4138">
      <w:pPr>
        <w:pStyle w:val="FootnoteText"/>
      </w:pPr>
      <w:r>
        <w:rPr>
          <w:rStyle w:val="FootnoteReference"/>
        </w:rPr>
        <w:footnoteRef/>
      </w:r>
      <w:r>
        <w:t xml:space="preserve"> </w:t>
      </w:r>
      <w:r w:rsidRPr="00BD4138">
        <w:t>AI</w:t>
      </w:r>
      <w:r w:rsidRPr="00BD4138">
        <w:t xml:space="preserve"> Advisory Body Interim Report, paras 4, 7, 18 and 23.</w:t>
      </w:r>
    </w:p>
  </w:footnote>
  <w:footnote w:id="51">
    <w:p w14:paraId="6E50AE4C" w14:textId="0EC895A7" w:rsidR="005C59E2" w:rsidRDefault="005C59E2">
      <w:pPr>
        <w:pStyle w:val="FootnoteText"/>
      </w:pPr>
      <w:r>
        <w:rPr>
          <w:rStyle w:val="FootnoteReference"/>
        </w:rPr>
        <w:footnoteRef/>
      </w:r>
      <w:r>
        <w:t xml:space="preserve"> </w:t>
      </w:r>
      <w:r w:rsidRPr="005C59E2">
        <w:t>As above, para</w:t>
      </w:r>
      <w:r w:rsidRPr="005C59E2">
        <w:t xml:space="preserve"> 46.</w:t>
      </w:r>
    </w:p>
  </w:footnote>
  <w:footnote w:id="52">
    <w:p w14:paraId="09847D8C" w14:textId="6E962E39" w:rsidR="008B3715" w:rsidRDefault="008B3715">
      <w:pPr>
        <w:pStyle w:val="FootnoteText"/>
      </w:pPr>
      <w:r>
        <w:rPr>
          <w:rStyle w:val="FootnoteReference"/>
        </w:rPr>
        <w:footnoteRef/>
      </w:r>
      <w:r>
        <w:t xml:space="preserve"> </w:t>
      </w:r>
      <w:r w:rsidRPr="008B3715">
        <w:t>Article 14, African Charter.</w:t>
      </w:r>
    </w:p>
  </w:footnote>
  <w:footnote w:id="53">
    <w:p w14:paraId="68529BBA" w14:textId="4668044D" w:rsidR="001D764D" w:rsidRDefault="001D764D">
      <w:pPr>
        <w:pStyle w:val="FootnoteText"/>
      </w:pPr>
      <w:r>
        <w:rPr>
          <w:rStyle w:val="FootnoteReference"/>
        </w:rPr>
        <w:footnoteRef/>
      </w:r>
      <w:r>
        <w:t xml:space="preserve"> </w:t>
      </w:r>
      <w:r w:rsidRPr="001D764D">
        <w:t>African Commission on Human and Peoples’ Rights v Kenya, application 006/2012, Judgement, 26 May 2017, para 123; Artur Margaryan and Artur Sargsyan v. the Republic of Kenya (African Commission).</w:t>
      </w:r>
    </w:p>
  </w:footnote>
  <w:footnote w:id="54">
    <w:p w14:paraId="3CCDA308" w14:textId="4E9E4A53" w:rsidR="00155145" w:rsidRDefault="00155145">
      <w:pPr>
        <w:pStyle w:val="FootnoteText"/>
      </w:pPr>
      <w:r>
        <w:rPr>
          <w:rStyle w:val="FootnoteReference"/>
        </w:rPr>
        <w:footnoteRef/>
      </w:r>
      <w:r>
        <w:t xml:space="preserve"> </w:t>
      </w:r>
      <w:r w:rsidRPr="00155145">
        <w:t>Centre for Minority Rights Development &amp; Minority Rights Group International (MRG) on behalf of the Endorois Community v The Republic of Kenya.</w:t>
      </w:r>
    </w:p>
  </w:footnote>
  <w:footnote w:id="55">
    <w:p w14:paraId="3E7D1438" w14:textId="435B9B21" w:rsidR="004A51A3" w:rsidRDefault="004A51A3">
      <w:pPr>
        <w:pStyle w:val="FootnoteText"/>
      </w:pPr>
      <w:r>
        <w:rPr>
          <w:rStyle w:val="FootnoteReference"/>
        </w:rPr>
        <w:footnoteRef/>
      </w:r>
      <w:r>
        <w:t xml:space="preserve"> </w:t>
      </w:r>
      <w:r w:rsidRPr="004A51A3">
        <w:t xml:space="preserve">Center on Housing Rights and Evictions (COHRE) v. Sudan, Communication No. 296/2005, African Commission on Human and Peoples’ </w:t>
      </w:r>
      <w:r w:rsidRPr="004A51A3">
        <w:t>Rights, July 29, 2009, para. 205; United Nations Declaration on the Rights of Indigenous Peoples (UNDRIP), adopted September 13, 2007, G.A. Res. 61/295, U.N. Doc. A/RES/47/1.</w:t>
      </w:r>
    </w:p>
  </w:footnote>
  <w:footnote w:id="56">
    <w:p w14:paraId="1CAF21EB" w14:textId="50B2255F" w:rsidR="00CF2D54" w:rsidRDefault="00CF2D54">
      <w:pPr>
        <w:pStyle w:val="FootnoteText"/>
      </w:pPr>
      <w:r>
        <w:rPr>
          <w:rStyle w:val="FootnoteReference"/>
        </w:rPr>
        <w:footnoteRef/>
      </w:r>
      <w:r>
        <w:t xml:space="preserve"> </w:t>
      </w:r>
      <w:r w:rsidRPr="00CF2D54">
        <w:t>African Commission on Human and Peoples’ Rights v Kenya, application 006/2012, Judgement, 26 May 2017, para 124.</w:t>
      </w:r>
    </w:p>
  </w:footnote>
  <w:footnote w:id="57">
    <w:p w14:paraId="0164E569" w14:textId="72D01B90" w:rsidR="0009415F" w:rsidRDefault="0009415F">
      <w:pPr>
        <w:pStyle w:val="FootnoteText"/>
      </w:pPr>
      <w:r>
        <w:rPr>
          <w:rStyle w:val="FootnoteReference"/>
        </w:rPr>
        <w:footnoteRef/>
      </w:r>
      <w:r>
        <w:t xml:space="preserve"> </w:t>
      </w:r>
      <w:r w:rsidRPr="0009415F">
        <w:t>7 Centre for Minority Rights Development &amp; Minority Rights Group International (MRG) on behalf of the Endorois Community v The Republic of Kenya, AfCHR, 2 February 2010.</w:t>
      </w:r>
    </w:p>
  </w:footnote>
  <w:footnote w:id="58">
    <w:p w14:paraId="6FFF5705" w14:textId="632370E8" w:rsidR="00110BA9" w:rsidRDefault="00110BA9">
      <w:pPr>
        <w:pStyle w:val="FootnoteText"/>
      </w:pPr>
      <w:r>
        <w:rPr>
          <w:rStyle w:val="FootnoteReference"/>
        </w:rPr>
        <w:footnoteRef/>
      </w:r>
      <w:r>
        <w:t xml:space="preserve"> </w:t>
      </w:r>
      <w:r w:rsidR="004D3B07" w:rsidRPr="004D3B07">
        <w:t xml:space="preserve">AUDA-NEPAD Whitepaper on AI </w:t>
      </w:r>
      <w:r w:rsidR="004D3B07" w:rsidRPr="004D3B07">
        <w:t>(above) 20, 53, 61; AE Ogiemwonyi et al, "Artificial intelligence in Africa: Challenges and opportunities" (2021) 375-388.</w:t>
      </w:r>
    </w:p>
  </w:footnote>
  <w:footnote w:id="59">
    <w:p w14:paraId="5E27DABE" w14:textId="398BFF3E" w:rsidR="00D140AF" w:rsidRDefault="00D140AF">
      <w:pPr>
        <w:pStyle w:val="FootnoteText"/>
      </w:pPr>
      <w:r>
        <w:rPr>
          <w:rStyle w:val="FootnoteReference"/>
        </w:rPr>
        <w:footnoteRef/>
      </w:r>
      <w:r>
        <w:t xml:space="preserve"> </w:t>
      </w:r>
      <w:r w:rsidRPr="00D140AF">
        <w:t xml:space="preserve">See “Supercharging a continent: World’s cutting-edge tech and brightest minds catalysing Africa’s innovation-driven future” (2024); A Korinek and JE </w:t>
      </w:r>
      <w:r w:rsidRPr="00D140AF">
        <w:t xml:space="preserve">Stiglitz, "Artificial intelligence and its implications for income distribution and unemployment" (2018) in </w:t>
      </w:r>
      <w:proofErr w:type="gramStart"/>
      <w:r w:rsidRPr="00D140AF">
        <w:t>The</w:t>
      </w:r>
      <w:proofErr w:type="gramEnd"/>
      <w:r w:rsidRPr="00D140AF">
        <w:t xml:space="preserve"> economics of artificial intelligence: An agenda (University of Chicago Press, 2018) 349-390.</w:t>
      </w:r>
    </w:p>
  </w:footnote>
  <w:footnote w:id="60">
    <w:p w14:paraId="4F6FEEB8" w14:textId="37E2C7E1" w:rsidR="007224C9" w:rsidRDefault="007224C9">
      <w:pPr>
        <w:pStyle w:val="FootnoteText"/>
      </w:pPr>
      <w:r>
        <w:rPr>
          <w:rStyle w:val="FootnoteReference"/>
        </w:rPr>
        <w:footnoteRef/>
      </w:r>
      <w:r>
        <w:t xml:space="preserve"> </w:t>
      </w:r>
      <w:r w:rsidRPr="007224C9">
        <w:t>D</w:t>
      </w:r>
      <w:r w:rsidRPr="007224C9">
        <w:t xml:space="preserve"> Thaldar and M Naidoo, “AI inventorship: The right decision? (2021) South Africa Journal of Science 117; Thaler v Comptroller-General of Patents, Designs and Trademarks [2023] UKSC 49.K Mitchelle, ‘Me, myself, and AI: Should Kenya’s patent law be amended to recognise machine learning systems as inventors’ Strathmore Law Review; RD Brown “Property ownership and the legal personhood of artificial intelligence” (2021) Information &amp; Communications Technology Law 208-234.</w:t>
      </w:r>
    </w:p>
  </w:footnote>
  <w:footnote w:id="61">
    <w:p w14:paraId="29BF5574" w14:textId="0FAE0C9C" w:rsidR="001A37DA" w:rsidRDefault="001A37DA">
      <w:pPr>
        <w:pStyle w:val="FootnoteText"/>
      </w:pPr>
      <w:r>
        <w:rPr>
          <w:rStyle w:val="FootnoteReference"/>
        </w:rPr>
        <w:footnoteRef/>
      </w:r>
      <w:r>
        <w:t xml:space="preserve"> </w:t>
      </w:r>
      <w:r w:rsidRPr="001A37DA">
        <w:t>AUDA-NEPAD</w:t>
      </w:r>
      <w:r w:rsidRPr="001A37DA">
        <w:t xml:space="preserve"> Whitepaper on AI (above) 61, 64-65; E Raj et al, "Precision farming in modern agriculture” in Smart Agriculture Automation Using Advanced Technologies: Data Analytics and Machine Learning, Cloud Architecture, Automation and IoT. Singapore: Springer Singapore, 2022. 61-87; Y Liu et al, "From Industry 4.0 to Agriculture 4.0: Current status, enabling technologies, and research challenges" IEEE Transactions on Industrial Informatics 17.6 (2020): 4322-4334.</w:t>
      </w:r>
    </w:p>
  </w:footnote>
  <w:footnote w:id="62">
    <w:p w14:paraId="3E5087A4" w14:textId="70523D25" w:rsidR="00165066" w:rsidRDefault="00165066">
      <w:pPr>
        <w:pStyle w:val="FootnoteText"/>
      </w:pPr>
      <w:r>
        <w:rPr>
          <w:rStyle w:val="FootnoteReference"/>
        </w:rPr>
        <w:footnoteRef/>
      </w:r>
      <w:r>
        <w:t xml:space="preserve"> </w:t>
      </w:r>
      <w:r w:rsidRPr="00165066">
        <w:t>D</w:t>
      </w:r>
      <w:r w:rsidRPr="00165066">
        <w:t xml:space="preserve"> Dyason and S Graham, "Navigating the future of property professionals: an AI-enabled paradigm" (2023) Journal of Property Investment &amp; Finance.</w:t>
      </w:r>
    </w:p>
  </w:footnote>
  <w:footnote w:id="63">
    <w:p w14:paraId="10ECA212" w14:textId="0336C879" w:rsidR="002A2CB8" w:rsidRDefault="002A2CB8">
      <w:pPr>
        <w:pStyle w:val="FootnoteText"/>
      </w:pPr>
      <w:r>
        <w:rPr>
          <w:rStyle w:val="FootnoteReference"/>
        </w:rPr>
        <w:footnoteRef/>
      </w:r>
      <w:r>
        <w:t xml:space="preserve"> </w:t>
      </w:r>
      <w:r w:rsidRPr="002A2CB8">
        <w:t xml:space="preserve">R Adams, “AI in Africa: Key concerns and policy considerations for the future of the </w:t>
      </w:r>
      <w:proofErr w:type="gramStart"/>
      <w:r w:rsidRPr="002A2CB8">
        <w:t>continent”(</w:t>
      </w:r>
      <w:proofErr w:type="gramEnd"/>
      <w:r w:rsidRPr="002A2CB8">
        <w:t xml:space="preserve">2022), </w:t>
      </w:r>
      <w:r w:rsidRPr="002A2CB8">
        <w:t>https://afripoli.org/ai-in-africa-key-concerns-and-policy-considerations-for-the-future-of-the-continent; Katz, Artificial Whiteness (above).</w:t>
      </w:r>
    </w:p>
  </w:footnote>
  <w:footnote w:id="64">
    <w:p w14:paraId="299B101A" w14:textId="7CAA9BA8" w:rsidR="00DC32EE" w:rsidRDefault="00DC32EE">
      <w:pPr>
        <w:pStyle w:val="FootnoteText"/>
      </w:pPr>
      <w:r>
        <w:rPr>
          <w:rStyle w:val="FootnoteReference"/>
        </w:rPr>
        <w:footnoteRef/>
      </w:r>
      <w:r>
        <w:t xml:space="preserve"> </w:t>
      </w:r>
      <w:r w:rsidRPr="00DC32EE">
        <w:t>A/HRC/57/70, Report</w:t>
      </w:r>
      <w:r w:rsidRPr="00DC32EE">
        <w:t xml:space="preserve"> of the Working Group on African Descent, Report on “Fulfilling the economic, social and cultural rights of people of African descent in the age of digitalization, artificial intelligence, and new and emerging technologies” (2024), paras 17-73; S Niyazov, “AI-powered monopolies and the new world order: How AI’s reliance on data will empower tech giants and reshape the global order” (2019); Adams, The new empire of AI (above).</w:t>
      </w:r>
    </w:p>
  </w:footnote>
  <w:footnote w:id="65">
    <w:p w14:paraId="6485CEAE" w14:textId="3838EC24" w:rsidR="00784E22" w:rsidRDefault="00784E22">
      <w:pPr>
        <w:pStyle w:val="FootnoteText"/>
      </w:pPr>
      <w:r>
        <w:rPr>
          <w:rStyle w:val="FootnoteReference"/>
        </w:rPr>
        <w:footnoteRef/>
      </w:r>
      <w:r>
        <w:t xml:space="preserve"> </w:t>
      </w:r>
      <w:r w:rsidRPr="00784E22">
        <w:t xml:space="preserve">R Qiu and L Zhanhong, "AI Widens </w:t>
      </w:r>
      <w:r w:rsidRPr="00784E22">
        <w:t xml:space="preserve">the Gap between the Rich and the Poor" (2023) SHS Web of Conferences. Vol. 152. EDP Sciences, 2023; Adams, </w:t>
      </w:r>
      <w:proofErr w:type="gramStart"/>
      <w:r w:rsidRPr="00784E22">
        <w:t>The</w:t>
      </w:r>
      <w:proofErr w:type="gramEnd"/>
      <w:r w:rsidRPr="00784E22">
        <w:t xml:space="preserve"> new empire of AI (above); A Sharma et al, "The double-edged sword of ai and industrial revolution 4.0: Will they widen or bridge the global economic divide?" in Sustainable technology for society 5.0 (CRC Press, 2024) 183-196; C Alonzo, “How artificial intelligence could widen the gap between rich and poor nations” (2020).</w:t>
      </w:r>
    </w:p>
  </w:footnote>
  <w:footnote w:id="66">
    <w:p w14:paraId="2FDDA869" w14:textId="06D867A4" w:rsidR="004B3A0B" w:rsidRDefault="004B3A0B">
      <w:pPr>
        <w:pStyle w:val="FootnoteText"/>
      </w:pPr>
      <w:r>
        <w:rPr>
          <w:rStyle w:val="FootnoteReference"/>
        </w:rPr>
        <w:footnoteRef/>
      </w:r>
      <w:r>
        <w:t xml:space="preserve"> </w:t>
      </w:r>
      <w:r w:rsidRPr="004B3A0B">
        <w:t xml:space="preserve">OO Adeniyi, “The impact of ai on </w:t>
      </w:r>
      <w:r w:rsidRPr="004B3A0B">
        <w:t>women’s job loss in Africa banking industry- focus on Kenya” (2021) Centre for Intellectual Property and Information Technology Law; F Noor et al, "Future of Jobs and the challenge of artificial intelligence" (2020) Global Strategic &amp; Security Studies Review 32-39.</w:t>
      </w:r>
    </w:p>
  </w:footnote>
  <w:footnote w:id="67">
    <w:p w14:paraId="2C43C550" w14:textId="7C5ACA0C" w:rsidR="00AF3A94" w:rsidRDefault="00AF3A94">
      <w:pPr>
        <w:pStyle w:val="FootnoteText"/>
      </w:pPr>
      <w:r>
        <w:rPr>
          <w:rStyle w:val="FootnoteReference"/>
        </w:rPr>
        <w:footnoteRef/>
      </w:r>
      <w:r>
        <w:t xml:space="preserve"> </w:t>
      </w:r>
      <w:r w:rsidRPr="00AF3A94">
        <w:t>Article 15, African Charter.</w:t>
      </w:r>
    </w:p>
  </w:footnote>
  <w:footnote w:id="68">
    <w:p w14:paraId="641684F9" w14:textId="3C762EC0" w:rsidR="00B23826" w:rsidRDefault="00B23826">
      <w:pPr>
        <w:pStyle w:val="FootnoteText"/>
      </w:pPr>
      <w:r>
        <w:rPr>
          <w:rStyle w:val="FootnoteReference"/>
        </w:rPr>
        <w:footnoteRef/>
      </w:r>
      <w:r>
        <w:t xml:space="preserve"> </w:t>
      </w:r>
      <w:r w:rsidRPr="00B23826">
        <w:t>Zimbabwe</w:t>
      </w:r>
      <w:r w:rsidRPr="00B23826">
        <w:t xml:space="preserve"> Lawyers for Human Rights &amp; Associated Newspapers of Zimbabwe v. Zimbabwe, 284/03, para 179; Annette Pagnoulle (on behalf of Abdoulaye Mazou) v Cameroon, 39/90_10AR, para 29; Nubian Community in Kenya v. Kenya, 317/06, para 168; Kennedy </w:t>
      </w:r>
      <w:proofErr w:type="spellStart"/>
      <w:r w:rsidRPr="00B23826">
        <w:t>Gihana</w:t>
      </w:r>
      <w:proofErr w:type="spellEnd"/>
      <w:r w:rsidRPr="00B23826">
        <w:t xml:space="preserve"> and Others v. Republic of Rwanda, 017/2015, para 131.</w:t>
      </w:r>
    </w:p>
  </w:footnote>
  <w:footnote w:id="69">
    <w:p w14:paraId="55A4999D" w14:textId="081D1D9F" w:rsidR="006D548C" w:rsidRDefault="006D548C">
      <w:pPr>
        <w:pStyle w:val="FootnoteText"/>
      </w:pPr>
      <w:r>
        <w:rPr>
          <w:rStyle w:val="FootnoteReference"/>
        </w:rPr>
        <w:footnoteRef/>
      </w:r>
      <w:r>
        <w:t xml:space="preserve"> </w:t>
      </w:r>
      <w:r w:rsidRPr="006D548C">
        <w:t xml:space="preserve">AUDA-NEPAD, Whitepaper on AI </w:t>
      </w:r>
      <w:r w:rsidRPr="006D548C">
        <w:t>(above) 64; O Adeniyi, Is AI for better or for worse? The impact of artificial intelligence on women’s jobs in Africa (2024); UNESCO AI Ethics Recommendation (above), paras 116 and 118; UN High Level Body on AI, Interim Report (above) paras 16 and 30; S Karombe, “Artificial intelligence in Africa: A socioeconomic view” (2024); MISA, AI Report on Southern Africa (above) 27.</w:t>
      </w:r>
    </w:p>
  </w:footnote>
  <w:footnote w:id="70">
    <w:p w14:paraId="0AEB48AC" w14:textId="56539E57" w:rsidR="00D37D16" w:rsidRDefault="00D37D16">
      <w:pPr>
        <w:pStyle w:val="FootnoteText"/>
      </w:pPr>
      <w:r>
        <w:rPr>
          <w:rStyle w:val="FootnoteReference"/>
        </w:rPr>
        <w:footnoteRef/>
      </w:r>
      <w:r>
        <w:t xml:space="preserve"> </w:t>
      </w:r>
      <w:r w:rsidRPr="00D37D16">
        <w:t xml:space="preserve">UNESCO AI Ethics Recommendation (above), paras 116 and 118; UN High Level Body on AI, Interim Report (above) paras 16 and 30; MISA, AI Report on Southern Africa (above) 27; </w:t>
      </w:r>
      <w:r w:rsidRPr="00D37D16">
        <w:t>AUDA-NEPAD, Whitepaper on AI (above) 64.</w:t>
      </w:r>
    </w:p>
  </w:footnote>
  <w:footnote w:id="71">
    <w:p w14:paraId="07DBAAD8" w14:textId="45175BB5" w:rsidR="00536FCA" w:rsidRDefault="00536FCA">
      <w:pPr>
        <w:pStyle w:val="FootnoteText"/>
      </w:pPr>
      <w:r>
        <w:rPr>
          <w:rStyle w:val="FootnoteReference"/>
        </w:rPr>
        <w:footnoteRef/>
      </w:r>
      <w:r>
        <w:t xml:space="preserve"> </w:t>
      </w:r>
      <w:r w:rsidRPr="00536FCA">
        <w:t xml:space="preserve">FT Tschang and A Esteve, "Artificial intelligence as augmenting automation: Implications for employment" (2021) Academy of Management </w:t>
      </w:r>
      <w:r w:rsidRPr="00536FCA">
        <w:t>Perspectives 642-659; D Acemoglu et al, "Artificial intelligence and jobs: Evidence from online vacancies" (2022) Journal of Labor Economics 293-340.</w:t>
      </w:r>
    </w:p>
  </w:footnote>
  <w:footnote w:id="72">
    <w:p w14:paraId="4AD223BC" w14:textId="295C0798" w:rsidR="00B93B4D" w:rsidRDefault="00B93B4D">
      <w:pPr>
        <w:pStyle w:val="FootnoteText"/>
      </w:pPr>
      <w:r>
        <w:rPr>
          <w:rStyle w:val="FootnoteReference"/>
        </w:rPr>
        <w:footnoteRef/>
      </w:r>
      <w:r>
        <w:t xml:space="preserve"> </w:t>
      </w:r>
      <w:r w:rsidRPr="00B93B4D">
        <w:t xml:space="preserve">DS Lakshmi et al, "Influence of artificial </w:t>
      </w:r>
      <w:r w:rsidRPr="00B93B4D">
        <w:t>intelligence-based skill development training on employability" (2024) International Journal of Educational Reform; RN Pagani et al, "AI and employability: Challenges and solutions from this technology transfer" (2023) in Smart cities and digital transformation: Empowering communities, limitless innovation, sustainable development, and the next generation (Emerald Publishing Limited, 2023) 253-284.</w:t>
      </w:r>
    </w:p>
  </w:footnote>
  <w:footnote w:id="73">
    <w:p w14:paraId="2359B00E" w14:textId="3859EE21" w:rsidR="00AC1008" w:rsidRDefault="00AC1008">
      <w:pPr>
        <w:pStyle w:val="FootnoteText"/>
      </w:pPr>
      <w:r>
        <w:rPr>
          <w:rStyle w:val="FootnoteReference"/>
        </w:rPr>
        <w:footnoteRef/>
      </w:r>
      <w:r>
        <w:t xml:space="preserve"> </w:t>
      </w:r>
      <w:r w:rsidRPr="00AC1008">
        <w:t>UNESCO AI Ethics Recommendation (above), paras 116 and 118;</w:t>
      </w:r>
      <w:r w:rsidRPr="00AC1008">
        <w:t xml:space="preserve"> UN High Level Body on AI, Interim Report (above) paras 16 and 30; MISA, AI Report on Southern Africa (above) 27; AUDA-NEPAD, Whitepaper on AI (above) 64; A/79/170, UN Special Rapporteur on human rights and international solidarity (above) paras 50-52.</w:t>
      </w:r>
    </w:p>
  </w:footnote>
  <w:footnote w:id="74">
    <w:p w14:paraId="71E80064" w14:textId="66BD31FE" w:rsidR="00F878DD" w:rsidRDefault="00F878DD">
      <w:pPr>
        <w:pStyle w:val="FootnoteText"/>
      </w:pPr>
      <w:r>
        <w:rPr>
          <w:rStyle w:val="FootnoteReference"/>
        </w:rPr>
        <w:footnoteRef/>
      </w:r>
      <w:r>
        <w:t xml:space="preserve"> </w:t>
      </w:r>
      <w:r w:rsidRPr="00F878DD">
        <w:t xml:space="preserve">Above; see also A/HRC/57/70, Report </w:t>
      </w:r>
      <w:r w:rsidRPr="00F878DD">
        <w:t>of the Working Group on African Descent on AI (above) 17-73.</w:t>
      </w:r>
    </w:p>
  </w:footnote>
  <w:footnote w:id="75">
    <w:p w14:paraId="031D5529" w14:textId="06B8C132" w:rsidR="007C36F5" w:rsidRDefault="007C36F5">
      <w:pPr>
        <w:pStyle w:val="FootnoteText"/>
      </w:pPr>
      <w:r>
        <w:rPr>
          <w:rStyle w:val="FootnoteReference"/>
        </w:rPr>
        <w:footnoteRef/>
      </w:r>
      <w:r>
        <w:t xml:space="preserve"> </w:t>
      </w:r>
      <w:r w:rsidRPr="007C36F5">
        <w:t xml:space="preserve">Karombe (above); see also GC </w:t>
      </w:r>
      <w:proofErr w:type="spellStart"/>
      <w:r w:rsidRPr="007C36F5">
        <w:t>Malamsha</w:t>
      </w:r>
      <w:proofErr w:type="spellEnd"/>
      <w:r w:rsidRPr="007C36F5">
        <w:t xml:space="preserve"> and DG Nyambo, “Multi-level association rule mining for the discovery of strong underrepresented </w:t>
      </w:r>
      <w:proofErr w:type="gramStart"/>
      <w:r w:rsidRPr="007C36F5">
        <w:t>patterns :</w:t>
      </w:r>
      <w:proofErr w:type="gramEnd"/>
      <w:r w:rsidRPr="007C36F5">
        <w:t xml:space="preserve"> the case study of small dairy farms in Tanzania” 18 April 2023.</w:t>
      </w:r>
    </w:p>
  </w:footnote>
  <w:footnote w:id="76">
    <w:p w14:paraId="360C5DAD" w14:textId="458BFE8B" w:rsidR="00A12FCC" w:rsidRDefault="00A12FCC">
      <w:pPr>
        <w:pStyle w:val="FootnoteText"/>
      </w:pPr>
      <w:r>
        <w:rPr>
          <w:rStyle w:val="FootnoteReference"/>
        </w:rPr>
        <w:footnoteRef/>
      </w:r>
      <w:r>
        <w:t xml:space="preserve"> </w:t>
      </w:r>
      <w:r w:rsidRPr="00A12FCC">
        <w:t xml:space="preserve">D Sholler and I MacInnes, "AI and </w:t>
      </w:r>
      <w:r w:rsidRPr="00A12FCC">
        <w:t>income inequality: the danger of exacerbating existing trends toward polarization in the US workforce" (2024) in Handbook of artificial intelligence at work (Edward Elgar Publishing, 2024) 338-355; MISA, AI Report on Southern Africa (above) 11; UNESCO AI Ethics Recommendation (above), preamble, para 121.</w:t>
      </w:r>
    </w:p>
  </w:footnote>
  <w:footnote w:id="77">
    <w:p w14:paraId="7DA69563" w14:textId="522399EE" w:rsidR="00C82331" w:rsidRDefault="00C82331">
      <w:pPr>
        <w:pStyle w:val="FootnoteText"/>
      </w:pPr>
      <w:r>
        <w:rPr>
          <w:rStyle w:val="FootnoteReference"/>
        </w:rPr>
        <w:footnoteRef/>
      </w:r>
      <w:r>
        <w:t xml:space="preserve"> </w:t>
      </w:r>
      <w:r w:rsidRPr="00C82331">
        <w:t>Above.</w:t>
      </w:r>
    </w:p>
  </w:footnote>
  <w:footnote w:id="78">
    <w:p w14:paraId="75E1BB2B" w14:textId="142E6257" w:rsidR="00413312" w:rsidRDefault="00413312">
      <w:pPr>
        <w:pStyle w:val="FootnoteText"/>
      </w:pPr>
      <w:r>
        <w:rPr>
          <w:rStyle w:val="FootnoteReference"/>
        </w:rPr>
        <w:footnoteRef/>
      </w:r>
      <w:r>
        <w:t xml:space="preserve"> </w:t>
      </w:r>
      <w:r w:rsidRPr="00413312">
        <w:t>African Commission, Multistakeholder</w:t>
      </w:r>
      <w:r w:rsidRPr="00413312">
        <w:t xml:space="preserve"> consultation meeting, Kigali (above).</w:t>
      </w:r>
    </w:p>
  </w:footnote>
  <w:footnote w:id="79">
    <w:p w14:paraId="4B8A32D6" w14:textId="45306501" w:rsidR="00143339" w:rsidRDefault="00143339">
      <w:pPr>
        <w:pStyle w:val="FootnoteText"/>
      </w:pPr>
      <w:r>
        <w:rPr>
          <w:rStyle w:val="FootnoteReference"/>
        </w:rPr>
        <w:footnoteRef/>
      </w:r>
      <w:r>
        <w:t xml:space="preserve"> </w:t>
      </w:r>
      <w:r w:rsidRPr="00143339">
        <w:t>D</w:t>
      </w:r>
      <w:r w:rsidRPr="00143339">
        <w:t xml:space="preserve"> Sholler and I MacInnes (above).</w:t>
      </w:r>
    </w:p>
  </w:footnote>
  <w:footnote w:id="80">
    <w:p w14:paraId="04817A09" w14:textId="22F8B866" w:rsidR="007F38BA" w:rsidRDefault="007F38BA">
      <w:pPr>
        <w:pStyle w:val="FootnoteText"/>
      </w:pPr>
      <w:r>
        <w:rPr>
          <w:rStyle w:val="FootnoteReference"/>
        </w:rPr>
        <w:footnoteRef/>
      </w:r>
      <w:r>
        <w:t xml:space="preserve"> </w:t>
      </w:r>
      <w:r w:rsidR="00C44B42" w:rsidRPr="00C44B42">
        <w:t>Katz (above); Couldry and Mejias (above).</w:t>
      </w:r>
    </w:p>
  </w:footnote>
  <w:footnote w:id="81">
    <w:p w14:paraId="7B862191" w14:textId="3E946C8C" w:rsidR="00ED027B" w:rsidRDefault="00ED027B">
      <w:pPr>
        <w:pStyle w:val="FootnoteText"/>
      </w:pPr>
      <w:r>
        <w:rPr>
          <w:rStyle w:val="FootnoteReference"/>
        </w:rPr>
        <w:footnoteRef/>
      </w:r>
      <w:r>
        <w:t xml:space="preserve"> </w:t>
      </w:r>
      <w:r w:rsidRPr="00ED027B">
        <w:t>A/78/161, Report of UN Special Rapporteur on Contemporary forms of slavery (2024) p.4.</w:t>
      </w:r>
    </w:p>
  </w:footnote>
  <w:footnote w:id="82">
    <w:p w14:paraId="3649105B" w14:textId="5E8B4DBA" w:rsidR="00FB3BB6" w:rsidRDefault="00FB3BB6">
      <w:pPr>
        <w:pStyle w:val="FootnoteText"/>
      </w:pPr>
      <w:r>
        <w:rPr>
          <w:rStyle w:val="FootnoteReference"/>
        </w:rPr>
        <w:footnoteRef/>
      </w:r>
      <w:r>
        <w:t xml:space="preserve"> </w:t>
      </w:r>
      <w:r w:rsidRPr="00FB3BB6">
        <w:t>Article 17(1), African Charter.</w:t>
      </w:r>
    </w:p>
  </w:footnote>
  <w:footnote w:id="83">
    <w:p w14:paraId="2B6276A1" w14:textId="4C185D3C" w:rsidR="00F24653" w:rsidRDefault="00F24653">
      <w:pPr>
        <w:pStyle w:val="FootnoteText"/>
      </w:pPr>
      <w:r>
        <w:rPr>
          <w:rStyle w:val="FootnoteReference"/>
        </w:rPr>
        <w:footnoteRef/>
      </w:r>
      <w:r>
        <w:t xml:space="preserve"> </w:t>
      </w:r>
      <w:r w:rsidR="004D285F" w:rsidRPr="004D285F">
        <w:t>Article 17(2), African Charter.</w:t>
      </w:r>
    </w:p>
  </w:footnote>
  <w:footnote w:id="84">
    <w:p w14:paraId="5C7D9AD5" w14:textId="19E7B4D7" w:rsidR="00DA366C" w:rsidRDefault="00DA366C">
      <w:pPr>
        <w:pStyle w:val="FootnoteText"/>
      </w:pPr>
      <w:r>
        <w:rPr>
          <w:rStyle w:val="FootnoteReference"/>
        </w:rPr>
        <w:footnoteRef/>
      </w:r>
      <w:r>
        <w:t xml:space="preserve"> </w:t>
      </w:r>
      <w:r w:rsidRPr="00DA366C">
        <w:t>Article 17(3), African Charter.</w:t>
      </w:r>
    </w:p>
  </w:footnote>
  <w:footnote w:id="85">
    <w:p w14:paraId="2DDD8E41" w14:textId="4610D4E6" w:rsidR="00771B40" w:rsidRDefault="00771B40">
      <w:pPr>
        <w:pStyle w:val="FootnoteText"/>
      </w:pPr>
      <w:r>
        <w:rPr>
          <w:rStyle w:val="FootnoteReference"/>
        </w:rPr>
        <w:footnoteRef/>
      </w:r>
      <w:r>
        <w:t xml:space="preserve"> </w:t>
      </w:r>
      <w:r w:rsidRPr="00771B40">
        <w:t>Article 17(1) and Article 17(2), African Charter.</w:t>
      </w:r>
    </w:p>
  </w:footnote>
  <w:footnote w:id="86">
    <w:p w14:paraId="224CBA04" w14:textId="16AB41B8" w:rsidR="00570AAF" w:rsidRDefault="00570AAF">
      <w:pPr>
        <w:pStyle w:val="FootnoteText"/>
      </w:pPr>
      <w:r>
        <w:rPr>
          <w:rStyle w:val="FootnoteReference"/>
        </w:rPr>
        <w:footnoteRef/>
      </w:r>
      <w:r>
        <w:t xml:space="preserve"> </w:t>
      </w:r>
      <w:r w:rsidRPr="00570AAF">
        <w:t xml:space="preserve">Free Legal Assistance Group v. Zaire, Communication 25/89-47/90-56/91-100/93, African Commission on Hum. &amp; Peoples’ Rights (1995), para </w:t>
      </w:r>
      <w:r w:rsidRPr="00570AAF">
        <w:t xml:space="preserve">48; African Commission on Human and Peoples’ Rights v. Republic of Kenya, Application 006/2012, African Court on Human and Peoples’ Rights. para 155; Centre for Minority Rights Development and Minority Rights Group International on behalf of </w:t>
      </w:r>
      <w:proofErr w:type="spellStart"/>
      <w:r w:rsidRPr="00570AAF">
        <w:t>Endorois</w:t>
      </w:r>
      <w:proofErr w:type="spellEnd"/>
      <w:r w:rsidRPr="00570AAF">
        <w:t xml:space="preserve"> Welfare Council v Kenya, Communication 276/03, African Commission on Human and Peoples’ Rights (2010) paras 115, 249.</w:t>
      </w:r>
    </w:p>
  </w:footnote>
  <w:footnote w:id="87">
    <w:p w14:paraId="63E07D51" w14:textId="7523BA58" w:rsidR="008F6A6F" w:rsidRDefault="008F6A6F">
      <w:pPr>
        <w:pStyle w:val="FootnoteText"/>
      </w:pPr>
      <w:r>
        <w:rPr>
          <w:rStyle w:val="FootnoteReference"/>
        </w:rPr>
        <w:footnoteRef/>
      </w:r>
      <w:r>
        <w:t xml:space="preserve"> </w:t>
      </w:r>
      <w:r w:rsidRPr="008F6A6F">
        <w:t xml:space="preserve">African Union, 'Continental Education </w:t>
      </w:r>
      <w:r w:rsidRPr="008F6A6F">
        <w:t>Strategy for Africa (CESA 16-25)' pages 11 &amp; 23.</w:t>
      </w:r>
    </w:p>
  </w:footnote>
  <w:footnote w:id="88">
    <w:p w14:paraId="1C0B9D6B" w14:textId="481202A8" w:rsidR="0021152C" w:rsidRDefault="0021152C">
      <w:pPr>
        <w:pStyle w:val="FootnoteText"/>
      </w:pPr>
      <w:r>
        <w:rPr>
          <w:rStyle w:val="FootnoteReference"/>
        </w:rPr>
        <w:footnoteRef/>
      </w:r>
      <w:r>
        <w:t xml:space="preserve"> </w:t>
      </w:r>
      <w:r w:rsidRPr="0021152C">
        <w:t xml:space="preserve">See Solomon Sunday Oyelere et al, </w:t>
      </w:r>
      <w:r w:rsidRPr="0021152C">
        <w:t>'Artificial Intelligence in African Schools: Towards a Contextualized Approach' (2022) 2022 IEEE Global Engineering Education Conference (EDUCON), Tunis, Tunisia, 28-31 March 2022, at page 1577/78.</w:t>
      </w:r>
    </w:p>
  </w:footnote>
  <w:footnote w:id="89">
    <w:p w14:paraId="1034A769" w14:textId="3CE1E93A" w:rsidR="00D1734D" w:rsidRDefault="00D1734D">
      <w:pPr>
        <w:pStyle w:val="FootnoteText"/>
      </w:pPr>
      <w:r>
        <w:rPr>
          <w:rStyle w:val="FootnoteReference"/>
        </w:rPr>
        <w:footnoteRef/>
      </w:r>
      <w:r>
        <w:t xml:space="preserve"> </w:t>
      </w:r>
      <w:r w:rsidRPr="00D1734D">
        <w:t>7 AUDA-NEPAD Whitepaper (above) 47;</w:t>
      </w:r>
      <w:r w:rsidRPr="00D1734D">
        <w:t xml:space="preserve"> AUDA-NEPAD, AI for Africa (above) 23; J Hlongwane et al, “Towards the integration of artificial intelligence in higher education, challenges and opportunities: The African context, a case of Zimbabwe” (2024) International Journal of Research and Innovation in Social Science 417; P Sibal and B Neupane, “Artificial intelligence needs assessment survey in Africa' (2021) United Nations Educational, Scientific and Cultural Organization; AA Mashishi, “South Africa’s artificial intelligence planning: Adoption of AI by government” (Department of Communications and Digital Technologies, October 2023).</w:t>
      </w:r>
      <w:r>
        <w:t xml:space="preserve"> </w:t>
      </w:r>
    </w:p>
  </w:footnote>
  <w:footnote w:id="90">
    <w:p w14:paraId="4F80F642" w14:textId="36D0F974" w:rsidR="002E576C" w:rsidRDefault="002E576C">
      <w:pPr>
        <w:pStyle w:val="FootnoteText"/>
      </w:pPr>
      <w:r>
        <w:rPr>
          <w:rStyle w:val="FootnoteReference"/>
        </w:rPr>
        <w:footnoteRef/>
      </w:r>
      <w:r>
        <w:t xml:space="preserve"> </w:t>
      </w:r>
      <w:r w:rsidRPr="002E576C">
        <w:t>AUDA-NEPAD Whitepaper (above) paras 73, 163; AUDA-NEPAD, AI for Africa (above) 23; AU Digital Transformation Strategy 2030, page 15.</w:t>
      </w:r>
    </w:p>
  </w:footnote>
  <w:footnote w:id="91">
    <w:p w14:paraId="3BD61500" w14:textId="33972084" w:rsidR="00E15F3D" w:rsidRDefault="00E15F3D">
      <w:pPr>
        <w:pStyle w:val="FootnoteText"/>
      </w:pPr>
      <w:r>
        <w:rPr>
          <w:rStyle w:val="FootnoteReference"/>
        </w:rPr>
        <w:footnoteRef/>
      </w:r>
      <w:r>
        <w:t xml:space="preserve"> </w:t>
      </w:r>
      <w:r w:rsidRPr="00E15F3D">
        <w:t>AUDA-NEPAD, AI for Africa (above) 23.</w:t>
      </w:r>
    </w:p>
  </w:footnote>
  <w:footnote w:id="92">
    <w:p w14:paraId="52AFEA47" w14:textId="3A1B934D" w:rsidR="00D50978" w:rsidRDefault="00D50978">
      <w:pPr>
        <w:pStyle w:val="FootnoteText"/>
      </w:pPr>
      <w:r>
        <w:rPr>
          <w:rStyle w:val="FootnoteReference"/>
        </w:rPr>
        <w:footnoteRef/>
      </w:r>
      <w:r>
        <w:t xml:space="preserve"> Ibid.</w:t>
      </w:r>
    </w:p>
  </w:footnote>
  <w:footnote w:id="93">
    <w:p w14:paraId="0C633D6E" w14:textId="5D96533A" w:rsidR="00A528D9" w:rsidRDefault="00A528D9">
      <w:pPr>
        <w:pStyle w:val="FootnoteText"/>
      </w:pPr>
      <w:r>
        <w:rPr>
          <w:rStyle w:val="FootnoteReference"/>
        </w:rPr>
        <w:footnoteRef/>
      </w:r>
      <w:r>
        <w:t xml:space="preserve"> </w:t>
      </w:r>
      <w:r w:rsidRPr="00A528D9">
        <w:t>See 'UNESCO Global</w:t>
      </w:r>
      <w:r w:rsidRPr="00A528D9">
        <w:t xml:space="preserve"> Judges’ Initiative” (2024) 11; MA </w:t>
      </w:r>
      <w:proofErr w:type="spellStart"/>
      <w:r w:rsidRPr="00A528D9">
        <w:t>Ayanwale</w:t>
      </w:r>
      <w:proofErr w:type="spellEnd"/>
      <w:r w:rsidRPr="00A528D9">
        <w:t xml:space="preserve"> et al, 'Examining Artificial Intelligence Literacy among Pre-Service Teachers for Future Classrooms' (2024) 6; Chisom et al (above) 643, AUDA-NEPAD, AI for Africa (above) 23; UNESCO (2020) UNESCO Global Education Monitoring Report 2020 (p.55 – 57).</w:t>
      </w:r>
    </w:p>
  </w:footnote>
  <w:footnote w:id="94">
    <w:p w14:paraId="2E4D01E8" w14:textId="1D3525A2" w:rsidR="00117A83" w:rsidRDefault="00117A83">
      <w:pPr>
        <w:pStyle w:val="FootnoteText"/>
      </w:pPr>
      <w:r>
        <w:rPr>
          <w:rStyle w:val="FootnoteReference"/>
        </w:rPr>
        <w:footnoteRef/>
      </w:r>
      <w:r>
        <w:t xml:space="preserve"> </w:t>
      </w:r>
      <w:r w:rsidRPr="00117A83">
        <w:t xml:space="preserve">AUDA-NEPAD Whitepaper (above) 29, </w:t>
      </w:r>
      <w:r w:rsidRPr="00117A83">
        <w:t>36, 218; A/79/520, UN Special Rapporteur on the Right to Education, Report on AI (above) p.10.</w:t>
      </w:r>
    </w:p>
  </w:footnote>
  <w:footnote w:id="95">
    <w:p w14:paraId="68DD20B0" w14:textId="11A19A7C" w:rsidR="00395619" w:rsidRDefault="00395619">
      <w:pPr>
        <w:pStyle w:val="FootnoteText"/>
      </w:pPr>
      <w:r>
        <w:rPr>
          <w:rStyle w:val="FootnoteReference"/>
        </w:rPr>
        <w:footnoteRef/>
      </w:r>
      <w:r>
        <w:t xml:space="preserve"> </w:t>
      </w:r>
      <w:r w:rsidRPr="00395619">
        <w:t>AUDA-NEPAD Whitepaper (above) 8.</w:t>
      </w:r>
    </w:p>
  </w:footnote>
  <w:footnote w:id="96">
    <w:p w14:paraId="375BDB93" w14:textId="0A51FBFE" w:rsidR="002306A0" w:rsidRDefault="002306A0">
      <w:pPr>
        <w:pStyle w:val="FootnoteText"/>
      </w:pPr>
      <w:r>
        <w:rPr>
          <w:rStyle w:val="FootnoteReference"/>
        </w:rPr>
        <w:footnoteRef/>
      </w:r>
      <w:r>
        <w:t xml:space="preserve"> </w:t>
      </w:r>
      <w:r w:rsidRPr="002306A0">
        <w:t>O</w:t>
      </w:r>
      <w:r w:rsidRPr="002306A0">
        <w:t xml:space="preserve"> Zawacki-Richter et al, “Systematic review of research on artificial intelligence applications in higher education–where are the educators</w:t>
      </w:r>
      <w:proofErr w:type="gramStart"/>
      <w:r w:rsidRPr="002306A0">
        <w:t>?”(</w:t>
      </w:r>
      <w:proofErr w:type="gramEnd"/>
      <w:r w:rsidRPr="002306A0">
        <w:t>2019) 16(1) International Journal of Educational Technology in Higher Education 1-27; A Kaplan &amp; M Haenlein, “Siri, Siri, in my hand: Who’s the fairest in the land? On the interpretations, illustrations, and implications of artificial intelligence” (2019) 62(1) Business Horizons 15-25.</w:t>
      </w:r>
    </w:p>
  </w:footnote>
  <w:footnote w:id="97">
    <w:p w14:paraId="2E64E39D" w14:textId="2F843E86" w:rsidR="005D7F7D" w:rsidRDefault="005D7F7D">
      <w:pPr>
        <w:pStyle w:val="FootnoteText"/>
      </w:pPr>
      <w:r>
        <w:rPr>
          <w:rStyle w:val="FootnoteReference"/>
        </w:rPr>
        <w:footnoteRef/>
      </w:r>
      <w:r>
        <w:t xml:space="preserve"> </w:t>
      </w:r>
      <w:r w:rsidRPr="005D7F7D">
        <w:t>BD Nye, “Intelligent tutoring systems by and for the developing world: a review of trends and approaches for educational technology in a global context”</w:t>
      </w:r>
      <w:r w:rsidRPr="005D7F7D">
        <w:t xml:space="preserve"> (2015) 25(2) International Journal of Artificial Intelligence in Education 177-203.</w:t>
      </w:r>
    </w:p>
  </w:footnote>
  <w:footnote w:id="98">
    <w:p w14:paraId="57347EBD" w14:textId="29C34B42" w:rsidR="007C1533" w:rsidRDefault="007C1533">
      <w:pPr>
        <w:pStyle w:val="FootnoteText"/>
      </w:pPr>
      <w:r>
        <w:rPr>
          <w:rStyle w:val="FootnoteReference"/>
        </w:rPr>
        <w:footnoteRef/>
      </w:r>
      <w:r>
        <w:t xml:space="preserve"> </w:t>
      </w:r>
      <w:r w:rsidRPr="007C1533">
        <w:t>MD</w:t>
      </w:r>
      <w:r w:rsidRPr="007C1533">
        <w:t xml:space="preserve"> Shermis &amp; J Burstein (eds), Handbook of automated essay evaluation: Current applications and new directions (Routledge, 2013); D Amemado, “Integrating artificial intelligence in higher education: A critical review of case applications” (2020) 15(1) Research and Practice in Technology Enhanced Learning 1-13.</w:t>
      </w:r>
    </w:p>
  </w:footnote>
  <w:footnote w:id="99">
    <w:p w14:paraId="69EC3F62" w14:textId="2D235547" w:rsidR="004F3869" w:rsidRDefault="004F3869">
      <w:pPr>
        <w:pStyle w:val="FootnoteText"/>
      </w:pPr>
      <w:r>
        <w:rPr>
          <w:rStyle w:val="FootnoteReference"/>
        </w:rPr>
        <w:footnoteRef/>
      </w:r>
      <w:r>
        <w:t xml:space="preserve"> </w:t>
      </w:r>
      <w:r w:rsidRPr="004F3869">
        <w:t xml:space="preserve">JC Aker &amp; C Ksoll, “Can ABC combat absenteeism? </w:t>
      </w:r>
      <w:r w:rsidRPr="004F3869">
        <w:t xml:space="preserve">Experimental evidence and costs from a mobile phone‐based intervention in Côte d’Ivoire” </w:t>
      </w:r>
      <w:r w:rsidRPr="004F3869">
        <w:t>(2021) 82 Economics of Education Review 102; BK Daniel, “Big Data analytics and ethics in higher education: A systematic literature review” (2010) Journal of Information, Communication and Ethics in Society.</w:t>
      </w:r>
    </w:p>
  </w:footnote>
  <w:footnote w:id="100">
    <w:p w14:paraId="3AFF3744" w14:textId="251FD1C1" w:rsidR="009A10CA" w:rsidRDefault="009A10CA">
      <w:pPr>
        <w:pStyle w:val="FootnoteText"/>
      </w:pPr>
      <w:r>
        <w:rPr>
          <w:rStyle w:val="FootnoteReference"/>
        </w:rPr>
        <w:footnoteRef/>
      </w:r>
      <w:r>
        <w:t xml:space="preserve"> </w:t>
      </w:r>
      <w:r w:rsidRPr="009A10CA">
        <w:t>A Følstad et al, “Artificial intelligence in</w:t>
      </w:r>
      <w:r w:rsidRPr="009A10CA">
        <w:t xml:space="preserve"> education: a review of general publications from 2012 to 2020” (2021) Ai &amp; Society 1-14.</w:t>
      </w:r>
    </w:p>
  </w:footnote>
  <w:footnote w:id="101">
    <w:p w14:paraId="0444C766" w14:textId="4937A81C" w:rsidR="00B44FD4" w:rsidRDefault="00B44FD4">
      <w:pPr>
        <w:pStyle w:val="FootnoteText"/>
      </w:pPr>
      <w:r>
        <w:rPr>
          <w:rStyle w:val="FootnoteReference"/>
        </w:rPr>
        <w:footnoteRef/>
      </w:r>
      <w:r>
        <w:t xml:space="preserve"> </w:t>
      </w:r>
      <w:r w:rsidRPr="00B44FD4">
        <w:t xml:space="preserve">K Verbert et al, “Learning analytics </w:t>
      </w:r>
      <w:r w:rsidRPr="00B44FD4">
        <w:t>dashboard applications” (2016) 60(10) American Behavioural Scientist 1269-1291; S Isaacs &amp; W Jochems, “Integrating AI into education in South Africa” (Oxford, 2021).</w:t>
      </w:r>
    </w:p>
  </w:footnote>
  <w:footnote w:id="102">
    <w:p w14:paraId="787FA251" w14:textId="36FAEF6A" w:rsidR="007E1318" w:rsidRDefault="007E1318">
      <w:pPr>
        <w:pStyle w:val="FootnoteText"/>
      </w:pPr>
      <w:r>
        <w:rPr>
          <w:rStyle w:val="FootnoteReference"/>
        </w:rPr>
        <w:footnoteRef/>
      </w:r>
      <w:r>
        <w:t xml:space="preserve"> </w:t>
      </w:r>
      <w:r w:rsidRPr="007E1318">
        <w:t xml:space="preserve">A/79/520, UN Special Rapporteur on </w:t>
      </w:r>
      <w:r w:rsidRPr="007E1318">
        <w:t>the Right to Education, Report on “Artificial intelligence in education” (2024), p. 5; S Yamada, History and development of education in Africa (Oxford, 2019); ANSA-Africa, “Power of education in youth empowerment” (2024).</w:t>
      </w:r>
    </w:p>
  </w:footnote>
  <w:footnote w:id="103">
    <w:p w14:paraId="1D086A8D" w14:textId="7B678124" w:rsidR="00B3562A" w:rsidRDefault="00B3562A">
      <w:pPr>
        <w:pStyle w:val="FootnoteText"/>
      </w:pPr>
      <w:r>
        <w:rPr>
          <w:rStyle w:val="FootnoteReference"/>
        </w:rPr>
        <w:footnoteRef/>
      </w:r>
      <w:r>
        <w:t xml:space="preserve"> </w:t>
      </w:r>
      <w:r w:rsidRPr="00B3562A">
        <w:t>Hankyoreh</w:t>
      </w:r>
      <w:r w:rsidRPr="00B3562A">
        <w:t xml:space="preserve"> Human &amp; Digital Forum, “No specific purpose’: Experts on how Big Tech attempts to create demand for AI” (2024), quoting Dr Abeba Birhane.</w:t>
      </w:r>
    </w:p>
  </w:footnote>
  <w:footnote w:id="104">
    <w:p w14:paraId="112236CE" w14:textId="14A702A9" w:rsidR="009645EB" w:rsidRDefault="009645EB">
      <w:pPr>
        <w:pStyle w:val="FootnoteText"/>
      </w:pPr>
      <w:r>
        <w:rPr>
          <w:rStyle w:val="FootnoteReference"/>
        </w:rPr>
        <w:footnoteRef/>
      </w:r>
      <w:r>
        <w:t xml:space="preserve"> </w:t>
      </w:r>
      <w:r w:rsidRPr="009645EB">
        <w:t xml:space="preserve">African Commission, Multistakeholder consultation meeting, Kigali (above); A/HRC/56/58, Report of the UN Special Rapporteur on the Right to Education, Farida Shaheed (2024), paras 68 and 71; N Humble and P Mozelius, “The threat, hype, and promise of </w:t>
      </w:r>
      <w:r w:rsidRPr="009645EB">
        <w:t>artificial intelligence in education” (2022) 2 Discover Artificial Intelligence 22; AP Ikedinachi et al, “Artificial intelligence, smart classrooms and online education in the 21st century: Implications for human development” (2019) 21 Journal of Cases on Information Technology 66 - 79; IAP Wogu et al, “Artificial intelligence, artificial teachers and the fate of learners in the 21st century education sector: Implications for theory and practice” (2018) 119 International Journal of Pure and Applied Mathematics.</w:t>
      </w:r>
    </w:p>
  </w:footnote>
  <w:footnote w:id="105">
    <w:p w14:paraId="1A219CDB" w14:textId="55E5328E" w:rsidR="00C9378A" w:rsidRDefault="00C9378A">
      <w:pPr>
        <w:pStyle w:val="FootnoteText"/>
      </w:pPr>
      <w:r>
        <w:rPr>
          <w:rStyle w:val="FootnoteReference"/>
        </w:rPr>
        <w:footnoteRef/>
      </w:r>
      <w:r>
        <w:t xml:space="preserve"> </w:t>
      </w:r>
      <w:r w:rsidRPr="00C9378A">
        <w:t>See</w:t>
      </w:r>
      <w:r w:rsidRPr="00C9378A">
        <w:t xml:space="preserve"> Article 17 of the African Charter on Human and Peoples Rights, subsection (1) read with subsection (2); R Eynon, “The rise of Big Data: what does it mean for education, technology, and media research?” (2013) 38(3) Learning, Media and Technology 237-240; M Sharples et al, “Innovating Pedagogy 2014: Open University Innovation” (2014) Report 3.</w:t>
      </w:r>
    </w:p>
  </w:footnote>
  <w:footnote w:id="106">
    <w:p w14:paraId="28B34441" w14:textId="5BAB8001" w:rsidR="00437939" w:rsidRDefault="00437939">
      <w:pPr>
        <w:pStyle w:val="FootnoteText"/>
      </w:pPr>
      <w:r>
        <w:rPr>
          <w:rStyle w:val="FootnoteReference"/>
        </w:rPr>
        <w:footnoteRef/>
      </w:r>
      <w:r>
        <w:t xml:space="preserve"> </w:t>
      </w:r>
      <w:r w:rsidRPr="00437939">
        <w:t xml:space="preserve">P Prinsloo, “Fleeing from </w:t>
      </w:r>
      <w:r w:rsidRPr="00437939">
        <w:t>Frankenstein’s monster and meeting Kafka on the way: algorithmic decision making in higher education” (2017) 14(3) E-Learning and Digital Media 138-163.</w:t>
      </w:r>
    </w:p>
  </w:footnote>
  <w:footnote w:id="107">
    <w:p w14:paraId="10C5770E" w14:textId="7AF01F8C" w:rsidR="00195B8B" w:rsidRDefault="00195B8B">
      <w:pPr>
        <w:pStyle w:val="FootnoteText"/>
      </w:pPr>
      <w:r>
        <w:rPr>
          <w:rStyle w:val="FootnoteReference"/>
        </w:rPr>
        <w:footnoteRef/>
      </w:r>
      <w:r>
        <w:t xml:space="preserve"> </w:t>
      </w:r>
      <w:r w:rsidRPr="00195B8B">
        <w:t xml:space="preserve">WO Nekoto et al, “Participatory </w:t>
      </w:r>
      <w:r w:rsidRPr="00195B8B">
        <w:t xml:space="preserve">translations of </w:t>
      </w:r>
      <w:proofErr w:type="spellStart"/>
      <w:r w:rsidRPr="00195B8B">
        <w:t>Oshiwambo</w:t>
      </w:r>
      <w:proofErr w:type="spellEnd"/>
      <w:r w:rsidRPr="00195B8B">
        <w:t>: Towards culture preservation with language technology” (2023) para 5; P Higgs, “The African Renaissance and the transformation of the higher education curriculum in South Africa” (2016) 13(1) Africa Education Review 87-101.</w:t>
      </w:r>
    </w:p>
  </w:footnote>
  <w:footnote w:id="108">
    <w:p w14:paraId="35AA78F7" w14:textId="3E186D76" w:rsidR="00770C5F" w:rsidRDefault="00770C5F">
      <w:pPr>
        <w:pStyle w:val="FootnoteText"/>
      </w:pPr>
      <w:r>
        <w:rPr>
          <w:rStyle w:val="FootnoteReference"/>
        </w:rPr>
        <w:footnoteRef/>
      </w:r>
      <w:r>
        <w:t xml:space="preserve"> </w:t>
      </w:r>
      <w:r w:rsidRPr="00770C5F">
        <w:t>F</w:t>
      </w:r>
      <w:r w:rsidRPr="00770C5F">
        <w:t xml:space="preserve"> Pedro et al, “Artificial intelligence in education : Challenges and opportunities for sustainable development” (2019); EO Arakpogun et al, “Artificial intelligence in Africa: Challenges and opportunities” in A Hamdan et al (eds), The Fourth industrial revolution: Implementation of artificial intelligence for growing business success (Springer International Publishing 2021); ON Chisom et al, “Review of AI in education: Transforming learning environments in Africa' (2023) International Journal of Applied Research in Social 5.</w:t>
      </w:r>
    </w:p>
  </w:footnote>
  <w:footnote w:id="109">
    <w:p w14:paraId="5A6EA93E" w14:textId="45D2B7EA" w:rsidR="00256427" w:rsidRDefault="00256427">
      <w:pPr>
        <w:pStyle w:val="FootnoteText"/>
      </w:pPr>
      <w:r>
        <w:rPr>
          <w:rStyle w:val="FootnoteReference"/>
        </w:rPr>
        <w:footnoteRef/>
      </w:r>
      <w:r>
        <w:t xml:space="preserve"> </w:t>
      </w:r>
      <w:r w:rsidRPr="00256427">
        <w:t>ITU, Measuring digital development Facts and Figures 2023.</w:t>
      </w:r>
    </w:p>
  </w:footnote>
  <w:footnote w:id="110">
    <w:p w14:paraId="3F2455B9" w14:textId="36792EAB" w:rsidR="00066283" w:rsidRDefault="00066283">
      <w:pPr>
        <w:pStyle w:val="FootnoteText"/>
      </w:pPr>
      <w:r>
        <w:rPr>
          <w:rStyle w:val="FootnoteReference"/>
        </w:rPr>
        <w:footnoteRef/>
      </w:r>
      <w:r>
        <w:t xml:space="preserve"> </w:t>
      </w:r>
      <w:r w:rsidRPr="00066283">
        <w:t xml:space="preserve">A/HRC/56/68, UN Special Rapporteur on Contemporary forms of racism, racial discrimination, xenophobia and related intolerance, Report on </w:t>
      </w:r>
      <w:r w:rsidRPr="00066283">
        <w:t>“Artificial Intelligence” (2024) paras 44-50; UNESCO, Artificial intelligence, and gender equality: Key findings of UNESCO’s global dialogue (2021); A/HRC/57/70, Report of the Working Group on African Descent on AI and digitalisation (above) 17-73; K Goddard et al, “Automation bias: A systematic review of frequency, effect mediators, and mitigators” (2012) 19 Journal of the American Medical Informatics Association 1.</w:t>
      </w:r>
    </w:p>
  </w:footnote>
  <w:footnote w:id="111">
    <w:p w14:paraId="13043AA8" w14:textId="42F870E2" w:rsidR="00860CB9" w:rsidRDefault="00860CB9">
      <w:pPr>
        <w:pStyle w:val="FootnoteText"/>
      </w:pPr>
      <w:r>
        <w:rPr>
          <w:rStyle w:val="FootnoteReference"/>
        </w:rPr>
        <w:footnoteRef/>
      </w:r>
      <w:r>
        <w:t xml:space="preserve"> </w:t>
      </w:r>
      <w:r w:rsidRPr="00860CB9">
        <w:t>S</w:t>
      </w:r>
      <w:r w:rsidRPr="00860CB9">
        <w:t xml:space="preserve"> Hussain et al, “Gender bias in artificial intelligence: Dynamics of algorithmic discrimination in automated recruiting processes and mitigation strategies” (2021) Journal of Open Innovation: Technology, Market, and Complexity 127; Y Dong and L Zhang, “How Native and Non-Native English Speakers Adapt Differently to Humans and Machine Raters” (2016) Assessing Writing 1-11; UNESCO, Artificial Intelligence and Gender Equality (2021); M Ekowo and I Palmer, “The promise and peril of predictive analytics in higher education: A landscape analysis” (2016) New America 1-38; C Novelli et al, “Taking AI risks seriously: A new assessment model for the AI Act” (2023) AI &amp; society; G </w:t>
      </w:r>
      <w:proofErr w:type="spellStart"/>
      <w:r w:rsidRPr="00860CB9">
        <w:t>Stettinger</w:t>
      </w:r>
      <w:proofErr w:type="spellEnd"/>
      <w:r w:rsidRPr="00860CB9">
        <w:t xml:space="preserve"> et al, “Trustworthiness assurance assessment for high risk ai-based systems” (2024) IEEE Access; C Novelli et al, ‘AI risk assessment: A scenario-based, proportional methodology for the ai act’ (2024) Digital Society; H Friedrich-Nel &amp; D MacKinnon, “Incorporating fairness into the algorithmic world: Beyond technical solutions” (2019) Proceedings the International Conference on Developments in eSystems Engineering 136-141; AX Zhang et al, “Edge intelligence: The confluence of edge computing and artificial intelligence” (2019) 7 IEEE Internet of Things Journal 7457-7469; L Floridi et al, “AI4People—an ethical framework for a good AI society: opportunities, risks, principles, and recommendations” (2018) 28 Minds and Machines 689-707.</w:t>
      </w:r>
    </w:p>
  </w:footnote>
  <w:footnote w:id="112">
    <w:p w14:paraId="14A8EE8B" w14:textId="4EF40E6B" w:rsidR="009F4149" w:rsidRDefault="009F4149">
      <w:pPr>
        <w:pStyle w:val="FootnoteText"/>
      </w:pPr>
      <w:r>
        <w:rPr>
          <w:rStyle w:val="FootnoteReference"/>
        </w:rPr>
        <w:footnoteRef/>
      </w:r>
      <w:r>
        <w:t xml:space="preserve"> </w:t>
      </w:r>
      <w:r w:rsidRPr="009F4149">
        <w:t>M Bulger, “Personalized learning:</w:t>
      </w:r>
      <w:r w:rsidRPr="009F4149">
        <w:t xml:space="preserve"> The conversations we’re not having” (2024); EO Arakpogun et al (above); ON Chisom et al (above); H Roberts-Mahoney et al, “</w:t>
      </w:r>
      <w:proofErr w:type="spellStart"/>
      <w:r w:rsidRPr="009F4149">
        <w:t>Netflixing</w:t>
      </w:r>
      <w:proofErr w:type="spellEnd"/>
      <w:r w:rsidRPr="009F4149">
        <w:t xml:space="preserve"> human capital development: Personalized learning technology and the corporatisation of K-12 education” (2016) Journal of Education Policy 405-420; P Gwirayi, “Ethical implications of informed consent in open distance learning institutions”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15C5"/>
    <w:multiLevelType w:val="hybridMultilevel"/>
    <w:tmpl w:val="474EFEBA"/>
    <w:lvl w:ilvl="0" w:tplc="CA90B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17D99"/>
    <w:multiLevelType w:val="hybridMultilevel"/>
    <w:tmpl w:val="82FC78A8"/>
    <w:lvl w:ilvl="0" w:tplc="C9D0AD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4216E2"/>
    <w:multiLevelType w:val="hybridMultilevel"/>
    <w:tmpl w:val="0DC46474"/>
    <w:lvl w:ilvl="0" w:tplc="E286C4A2">
      <w:start w:val="7"/>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90404414">
    <w:abstractNumId w:val="0"/>
  </w:num>
  <w:num w:numId="2" w16cid:durableId="753816070">
    <w:abstractNumId w:val="1"/>
  </w:num>
  <w:num w:numId="3" w16cid:durableId="4486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1"/>
    <w:rsid w:val="00014A0F"/>
    <w:rsid w:val="00023C64"/>
    <w:rsid w:val="00035CAA"/>
    <w:rsid w:val="00055DC8"/>
    <w:rsid w:val="00057DFD"/>
    <w:rsid w:val="00061E3F"/>
    <w:rsid w:val="000627E8"/>
    <w:rsid w:val="00066283"/>
    <w:rsid w:val="0009415F"/>
    <w:rsid w:val="000A34A4"/>
    <w:rsid w:val="000A4E9C"/>
    <w:rsid w:val="000A60EA"/>
    <w:rsid w:val="000A63A7"/>
    <w:rsid w:val="000B39B7"/>
    <w:rsid w:val="000B48F4"/>
    <w:rsid w:val="000B74DD"/>
    <w:rsid w:val="000D334F"/>
    <w:rsid w:val="000E1D7D"/>
    <w:rsid w:val="000E541D"/>
    <w:rsid w:val="00110BA9"/>
    <w:rsid w:val="001139FD"/>
    <w:rsid w:val="00117A83"/>
    <w:rsid w:val="00121CC7"/>
    <w:rsid w:val="001259D7"/>
    <w:rsid w:val="00143339"/>
    <w:rsid w:val="001449DA"/>
    <w:rsid w:val="00155145"/>
    <w:rsid w:val="00165066"/>
    <w:rsid w:val="001860FA"/>
    <w:rsid w:val="00195B8B"/>
    <w:rsid w:val="001A00C6"/>
    <w:rsid w:val="001A37DA"/>
    <w:rsid w:val="001A49E2"/>
    <w:rsid w:val="001A4B28"/>
    <w:rsid w:val="001B1C50"/>
    <w:rsid w:val="001B3FBC"/>
    <w:rsid w:val="001C42E5"/>
    <w:rsid w:val="001C74A2"/>
    <w:rsid w:val="001D764D"/>
    <w:rsid w:val="001F4AF1"/>
    <w:rsid w:val="00203809"/>
    <w:rsid w:val="0021152C"/>
    <w:rsid w:val="00221972"/>
    <w:rsid w:val="002306A0"/>
    <w:rsid w:val="0023673B"/>
    <w:rsid w:val="00237A01"/>
    <w:rsid w:val="00254772"/>
    <w:rsid w:val="00256427"/>
    <w:rsid w:val="0026136D"/>
    <w:rsid w:val="002638DC"/>
    <w:rsid w:val="00281720"/>
    <w:rsid w:val="00294C23"/>
    <w:rsid w:val="00296D22"/>
    <w:rsid w:val="002A2CB8"/>
    <w:rsid w:val="002B438F"/>
    <w:rsid w:val="002B4961"/>
    <w:rsid w:val="002C41EC"/>
    <w:rsid w:val="002C547E"/>
    <w:rsid w:val="002D677F"/>
    <w:rsid w:val="002E576C"/>
    <w:rsid w:val="00301E91"/>
    <w:rsid w:val="00314AFA"/>
    <w:rsid w:val="00334210"/>
    <w:rsid w:val="00362BDC"/>
    <w:rsid w:val="00373C21"/>
    <w:rsid w:val="003813C6"/>
    <w:rsid w:val="00395619"/>
    <w:rsid w:val="003A4C4B"/>
    <w:rsid w:val="003A4F9D"/>
    <w:rsid w:val="003A63CA"/>
    <w:rsid w:val="003C3253"/>
    <w:rsid w:val="003C7CF7"/>
    <w:rsid w:val="004076A8"/>
    <w:rsid w:val="0041047B"/>
    <w:rsid w:val="00413312"/>
    <w:rsid w:val="00437939"/>
    <w:rsid w:val="0044085E"/>
    <w:rsid w:val="00462E3A"/>
    <w:rsid w:val="0047072A"/>
    <w:rsid w:val="00471728"/>
    <w:rsid w:val="00485540"/>
    <w:rsid w:val="0049726C"/>
    <w:rsid w:val="004A243C"/>
    <w:rsid w:val="004A51A3"/>
    <w:rsid w:val="004A7A7C"/>
    <w:rsid w:val="004B3A0B"/>
    <w:rsid w:val="004C1E60"/>
    <w:rsid w:val="004D285F"/>
    <w:rsid w:val="004D3B07"/>
    <w:rsid w:val="004D4880"/>
    <w:rsid w:val="004D5D19"/>
    <w:rsid w:val="004E3D42"/>
    <w:rsid w:val="004F29D9"/>
    <w:rsid w:val="004F3869"/>
    <w:rsid w:val="00502CCD"/>
    <w:rsid w:val="00521268"/>
    <w:rsid w:val="0052227A"/>
    <w:rsid w:val="00524493"/>
    <w:rsid w:val="00536FCA"/>
    <w:rsid w:val="00547706"/>
    <w:rsid w:val="005704B6"/>
    <w:rsid w:val="00570AAF"/>
    <w:rsid w:val="00572206"/>
    <w:rsid w:val="00576732"/>
    <w:rsid w:val="00582E56"/>
    <w:rsid w:val="005A15CF"/>
    <w:rsid w:val="005A1BD8"/>
    <w:rsid w:val="005C59E2"/>
    <w:rsid w:val="005D2C80"/>
    <w:rsid w:val="005D7F7D"/>
    <w:rsid w:val="005E7876"/>
    <w:rsid w:val="005F0557"/>
    <w:rsid w:val="00612324"/>
    <w:rsid w:val="00612EB2"/>
    <w:rsid w:val="00617A24"/>
    <w:rsid w:val="006213C6"/>
    <w:rsid w:val="00627703"/>
    <w:rsid w:val="006342E7"/>
    <w:rsid w:val="00634753"/>
    <w:rsid w:val="0066492C"/>
    <w:rsid w:val="0066542D"/>
    <w:rsid w:val="0067282D"/>
    <w:rsid w:val="00680F61"/>
    <w:rsid w:val="00681C41"/>
    <w:rsid w:val="00683CDE"/>
    <w:rsid w:val="00684DB4"/>
    <w:rsid w:val="006A29B5"/>
    <w:rsid w:val="006B133B"/>
    <w:rsid w:val="006C063C"/>
    <w:rsid w:val="006D548C"/>
    <w:rsid w:val="006D64EB"/>
    <w:rsid w:val="007224C9"/>
    <w:rsid w:val="007251D2"/>
    <w:rsid w:val="00731711"/>
    <w:rsid w:val="0073261B"/>
    <w:rsid w:val="007334EE"/>
    <w:rsid w:val="007475FD"/>
    <w:rsid w:val="007634A8"/>
    <w:rsid w:val="00765EAD"/>
    <w:rsid w:val="00770C5F"/>
    <w:rsid w:val="00771B40"/>
    <w:rsid w:val="00773688"/>
    <w:rsid w:val="0077751E"/>
    <w:rsid w:val="00781393"/>
    <w:rsid w:val="00784E22"/>
    <w:rsid w:val="00792E3C"/>
    <w:rsid w:val="00794063"/>
    <w:rsid w:val="007B7A5D"/>
    <w:rsid w:val="007C1533"/>
    <w:rsid w:val="007C1F05"/>
    <w:rsid w:val="007C36F5"/>
    <w:rsid w:val="007C71ED"/>
    <w:rsid w:val="007E1318"/>
    <w:rsid w:val="007F38BA"/>
    <w:rsid w:val="007F7E01"/>
    <w:rsid w:val="008114A7"/>
    <w:rsid w:val="00812331"/>
    <w:rsid w:val="00826C24"/>
    <w:rsid w:val="008453B6"/>
    <w:rsid w:val="00846900"/>
    <w:rsid w:val="00860CB9"/>
    <w:rsid w:val="008668AD"/>
    <w:rsid w:val="0087211A"/>
    <w:rsid w:val="0089444C"/>
    <w:rsid w:val="0089743C"/>
    <w:rsid w:val="008A4BEB"/>
    <w:rsid w:val="008A515F"/>
    <w:rsid w:val="008B3715"/>
    <w:rsid w:val="008B7EBA"/>
    <w:rsid w:val="008D39EF"/>
    <w:rsid w:val="008E4D40"/>
    <w:rsid w:val="008E6F17"/>
    <w:rsid w:val="008F6A6F"/>
    <w:rsid w:val="0090251A"/>
    <w:rsid w:val="00902D6A"/>
    <w:rsid w:val="009304EB"/>
    <w:rsid w:val="009434DF"/>
    <w:rsid w:val="00961748"/>
    <w:rsid w:val="009645EB"/>
    <w:rsid w:val="009705DE"/>
    <w:rsid w:val="00971AD4"/>
    <w:rsid w:val="00972DEE"/>
    <w:rsid w:val="009A10CA"/>
    <w:rsid w:val="009D7B43"/>
    <w:rsid w:val="009E2E9F"/>
    <w:rsid w:val="009E39FD"/>
    <w:rsid w:val="009E6B4C"/>
    <w:rsid w:val="009F0C4C"/>
    <w:rsid w:val="009F4149"/>
    <w:rsid w:val="009F6925"/>
    <w:rsid w:val="00A06B93"/>
    <w:rsid w:val="00A11D24"/>
    <w:rsid w:val="00A12FCC"/>
    <w:rsid w:val="00A15D9B"/>
    <w:rsid w:val="00A242DD"/>
    <w:rsid w:val="00A370DF"/>
    <w:rsid w:val="00A51820"/>
    <w:rsid w:val="00A528D9"/>
    <w:rsid w:val="00A61A7D"/>
    <w:rsid w:val="00A86101"/>
    <w:rsid w:val="00A9126D"/>
    <w:rsid w:val="00AA1787"/>
    <w:rsid w:val="00AA6411"/>
    <w:rsid w:val="00AC1008"/>
    <w:rsid w:val="00AC4B45"/>
    <w:rsid w:val="00AD64F8"/>
    <w:rsid w:val="00AD6D0C"/>
    <w:rsid w:val="00AE41B1"/>
    <w:rsid w:val="00AF3A94"/>
    <w:rsid w:val="00B12830"/>
    <w:rsid w:val="00B23826"/>
    <w:rsid w:val="00B3562A"/>
    <w:rsid w:val="00B43095"/>
    <w:rsid w:val="00B4360E"/>
    <w:rsid w:val="00B44FD4"/>
    <w:rsid w:val="00B512ED"/>
    <w:rsid w:val="00B61358"/>
    <w:rsid w:val="00B634F7"/>
    <w:rsid w:val="00B64639"/>
    <w:rsid w:val="00B7158B"/>
    <w:rsid w:val="00B93B4D"/>
    <w:rsid w:val="00B977B5"/>
    <w:rsid w:val="00BB7214"/>
    <w:rsid w:val="00BB7B97"/>
    <w:rsid w:val="00BD4138"/>
    <w:rsid w:val="00BE1683"/>
    <w:rsid w:val="00BE4098"/>
    <w:rsid w:val="00BF3644"/>
    <w:rsid w:val="00C02072"/>
    <w:rsid w:val="00C03145"/>
    <w:rsid w:val="00C056A8"/>
    <w:rsid w:val="00C22B79"/>
    <w:rsid w:val="00C44B42"/>
    <w:rsid w:val="00C45E4C"/>
    <w:rsid w:val="00C5472B"/>
    <w:rsid w:val="00C62033"/>
    <w:rsid w:val="00C620EA"/>
    <w:rsid w:val="00C675A7"/>
    <w:rsid w:val="00C82331"/>
    <w:rsid w:val="00C9378A"/>
    <w:rsid w:val="00CA2437"/>
    <w:rsid w:val="00CA66CC"/>
    <w:rsid w:val="00CB6BA6"/>
    <w:rsid w:val="00CD5B09"/>
    <w:rsid w:val="00CF0FC6"/>
    <w:rsid w:val="00CF2D54"/>
    <w:rsid w:val="00CF711F"/>
    <w:rsid w:val="00D140AF"/>
    <w:rsid w:val="00D1734D"/>
    <w:rsid w:val="00D24E84"/>
    <w:rsid w:val="00D37D16"/>
    <w:rsid w:val="00D50978"/>
    <w:rsid w:val="00D5203B"/>
    <w:rsid w:val="00D64A8D"/>
    <w:rsid w:val="00D74B2A"/>
    <w:rsid w:val="00D8007C"/>
    <w:rsid w:val="00D856B4"/>
    <w:rsid w:val="00D87838"/>
    <w:rsid w:val="00D91AFF"/>
    <w:rsid w:val="00DA366C"/>
    <w:rsid w:val="00DB4F0E"/>
    <w:rsid w:val="00DB5463"/>
    <w:rsid w:val="00DC32EE"/>
    <w:rsid w:val="00DC383B"/>
    <w:rsid w:val="00DC3F21"/>
    <w:rsid w:val="00DC6D7E"/>
    <w:rsid w:val="00DC7904"/>
    <w:rsid w:val="00DD1668"/>
    <w:rsid w:val="00DD6C90"/>
    <w:rsid w:val="00DF4B49"/>
    <w:rsid w:val="00DF752A"/>
    <w:rsid w:val="00E0539E"/>
    <w:rsid w:val="00E123B9"/>
    <w:rsid w:val="00E15F3D"/>
    <w:rsid w:val="00E15F53"/>
    <w:rsid w:val="00E22F79"/>
    <w:rsid w:val="00E24730"/>
    <w:rsid w:val="00E365F5"/>
    <w:rsid w:val="00E82935"/>
    <w:rsid w:val="00EA3136"/>
    <w:rsid w:val="00EB09CA"/>
    <w:rsid w:val="00EB5519"/>
    <w:rsid w:val="00EC6F51"/>
    <w:rsid w:val="00ED027B"/>
    <w:rsid w:val="00EF0C51"/>
    <w:rsid w:val="00EF43EF"/>
    <w:rsid w:val="00EF743B"/>
    <w:rsid w:val="00EF7847"/>
    <w:rsid w:val="00F132C3"/>
    <w:rsid w:val="00F1720A"/>
    <w:rsid w:val="00F17B64"/>
    <w:rsid w:val="00F23C85"/>
    <w:rsid w:val="00F24653"/>
    <w:rsid w:val="00F3650E"/>
    <w:rsid w:val="00F60198"/>
    <w:rsid w:val="00F61420"/>
    <w:rsid w:val="00F67642"/>
    <w:rsid w:val="00F72AF5"/>
    <w:rsid w:val="00F731DF"/>
    <w:rsid w:val="00F740A8"/>
    <w:rsid w:val="00F807E3"/>
    <w:rsid w:val="00F81350"/>
    <w:rsid w:val="00F878DD"/>
    <w:rsid w:val="00F96D97"/>
    <w:rsid w:val="00FA7323"/>
    <w:rsid w:val="00FB3BB6"/>
    <w:rsid w:val="00FB5AA1"/>
    <w:rsid w:val="00FB6E67"/>
    <w:rsid w:val="00FC0BC7"/>
    <w:rsid w:val="00FD3243"/>
    <w:rsid w:val="00FD5691"/>
    <w:rsid w:val="00FE0754"/>
    <w:rsid w:val="00FE0A48"/>
    <w:rsid w:val="00FE65EA"/>
    <w:rsid w:val="00FE6867"/>
    <w:rsid w:val="00FF0A57"/>
    <w:rsid w:val="00FF1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6603"/>
  <w15:chartTrackingRefBased/>
  <w15:docId w15:val="{6C4CFC37-D21D-44A6-8171-476A44DF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1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1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1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1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1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1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1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1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1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01"/>
    <w:rPr>
      <w:rFonts w:eastAsiaTheme="majorEastAsia" w:cstheme="majorBidi"/>
      <w:color w:val="272727" w:themeColor="text1" w:themeTint="D8"/>
    </w:rPr>
  </w:style>
  <w:style w:type="paragraph" w:styleId="Title">
    <w:name w:val="Title"/>
    <w:basedOn w:val="Normal"/>
    <w:next w:val="Normal"/>
    <w:link w:val="TitleChar"/>
    <w:uiPriority w:val="10"/>
    <w:qFormat/>
    <w:rsid w:val="00A86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01"/>
    <w:pPr>
      <w:spacing w:before="160"/>
      <w:jc w:val="center"/>
    </w:pPr>
    <w:rPr>
      <w:i/>
      <w:iCs/>
      <w:color w:val="404040" w:themeColor="text1" w:themeTint="BF"/>
    </w:rPr>
  </w:style>
  <w:style w:type="character" w:customStyle="1" w:styleId="QuoteChar">
    <w:name w:val="Quote Char"/>
    <w:basedOn w:val="DefaultParagraphFont"/>
    <w:link w:val="Quote"/>
    <w:uiPriority w:val="29"/>
    <w:rsid w:val="00A86101"/>
    <w:rPr>
      <w:i/>
      <w:iCs/>
      <w:color w:val="404040" w:themeColor="text1" w:themeTint="BF"/>
    </w:rPr>
  </w:style>
  <w:style w:type="paragraph" w:styleId="ListParagraph">
    <w:name w:val="List Paragraph"/>
    <w:basedOn w:val="Normal"/>
    <w:uiPriority w:val="34"/>
    <w:qFormat/>
    <w:rsid w:val="00A86101"/>
    <w:pPr>
      <w:ind w:left="720"/>
      <w:contextualSpacing/>
    </w:pPr>
  </w:style>
  <w:style w:type="character" w:styleId="IntenseEmphasis">
    <w:name w:val="Intense Emphasis"/>
    <w:basedOn w:val="DefaultParagraphFont"/>
    <w:uiPriority w:val="21"/>
    <w:qFormat/>
    <w:rsid w:val="00A86101"/>
    <w:rPr>
      <w:i/>
      <w:iCs/>
      <w:color w:val="2F5496" w:themeColor="accent1" w:themeShade="BF"/>
    </w:rPr>
  </w:style>
  <w:style w:type="paragraph" w:styleId="IntenseQuote">
    <w:name w:val="Intense Quote"/>
    <w:basedOn w:val="Normal"/>
    <w:next w:val="Normal"/>
    <w:link w:val="IntenseQuoteChar"/>
    <w:uiPriority w:val="30"/>
    <w:qFormat/>
    <w:rsid w:val="00A86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101"/>
    <w:rPr>
      <w:i/>
      <w:iCs/>
      <w:color w:val="2F5496" w:themeColor="accent1" w:themeShade="BF"/>
    </w:rPr>
  </w:style>
  <w:style w:type="character" w:styleId="IntenseReference">
    <w:name w:val="Intense Reference"/>
    <w:basedOn w:val="DefaultParagraphFont"/>
    <w:uiPriority w:val="32"/>
    <w:qFormat/>
    <w:rsid w:val="00A86101"/>
    <w:rPr>
      <w:b/>
      <w:bCs/>
      <w:smallCaps/>
      <w:color w:val="2F5496" w:themeColor="accent1" w:themeShade="BF"/>
      <w:spacing w:val="5"/>
    </w:rPr>
  </w:style>
  <w:style w:type="paragraph" w:styleId="FootnoteText">
    <w:name w:val="footnote text"/>
    <w:basedOn w:val="Normal"/>
    <w:link w:val="FootnoteTextChar"/>
    <w:uiPriority w:val="99"/>
    <w:semiHidden/>
    <w:unhideWhenUsed/>
    <w:rsid w:val="00A86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101"/>
    <w:rPr>
      <w:sz w:val="20"/>
      <w:szCs w:val="20"/>
    </w:rPr>
  </w:style>
  <w:style w:type="character" w:styleId="FootnoteReference">
    <w:name w:val="footnote reference"/>
    <w:basedOn w:val="DefaultParagraphFont"/>
    <w:uiPriority w:val="99"/>
    <w:semiHidden/>
    <w:unhideWhenUsed/>
    <w:rsid w:val="00A86101"/>
    <w:rPr>
      <w:vertAlign w:val="superscript"/>
    </w:rPr>
  </w:style>
  <w:style w:type="character" w:styleId="Hyperlink">
    <w:name w:val="Hyperlink"/>
    <w:basedOn w:val="DefaultParagraphFont"/>
    <w:uiPriority w:val="99"/>
    <w:unhideWhenUsed/>
    <w:rsid w:val="004076A8"/>
    <w:rPr>
      <w:color w:val="0563C1" w:themeColor="hyperlink"/>
      <w:u w:val="single"/>
    </w:rPr>
  </w:style>
  <w:style w:type="character" w:styleId="UnresolvedMention">
    <w:name w:val="Unresolved Mention"/>
    <w:basedOn w:val="DefaultParagraphFont"/>
    <w:uiPriority w:val="99"/>
    <w:semiHidden/>
    <w:unhideWhenUsed/>
    <w:rsid w:val="004076A8"/>
    <w:rPr>
      <w:color w:val="605E5C"/>
      <w:shd w:val="clear" w:color="auto" w:fill="E1DFDD"/>
    </w:rPr>
  </w:style>
  <w:style w:type="paragraph" w:styleId="Header">
    <w:name w:val="header"/>
    <w:basedOn w:val="Normal"/>
    <w:link w:val="HeaderChar"/>
    <w:uiPriority w:val="99"/>
    <w:semiHidden/>
    <w:unhideWhenUsed/>
    <w:rsid w:val="00B634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34F7"/>
  </w:style>
  <w:style w:type="paragraph" w:styleId="Footer">
    <w:name w:val="footer"/>
    <w:basedOn w:val="Normal"/>
    <w:link w:val="FooterChar"/>
    <w:uiPriority w:val="99"/>
    <w:semiHidden/>
    <w:unhideWhenUsed/>
    <w:rsid w:val="00B634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34F7"/>
  </w:style>
  <w:style w:type="paragraph" w:styleId="NormalWeb">
    <w:name w:val="Normal (Web)"/>
    <w:basedOn w:val="Normal"/>
    <w:uiPriority w:val="99"/>
    <w:semiHidden/>
    <w:unhideWhenUsed/>
    <w:rsid w:val="00FD32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google/s7zlRT8qE21qef90R" TargetMode="External"/><Relationship Id="rId13" Type="http://schemas.openxmlformats.org/officeDocument/2006/relationships/hyperlink" Target="https://www.policycenter.ma/sites/default/files/2023-07/PP_13-23%20%28Jaldi%20%2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pit.strathmore.edu/wp-content/uploads/2023/05/The-State-of-AI-in-Africa-Report-2023-mi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i-web.org/article/future-ai-statistics-africa-continent-rea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um.com/@DigiLawNG/the-ai-industry-in-africa-the-booming-startups-and-indigenous-ai-promotion-organisations-25d605f51d9b" TargetMode="External"/><Relationship Id="rId4" Type="http://schemas.openxmlformats.org/officeDocument/2006/relationships/settings" Target="settings.xml"/><Relationship Id="rId9" Type="http://schemas.openxmlformats.org/officeDocument/2006/relationships/hyperlink" Target="https://nicholasidoko.com/blog/category/africa/" TargetMode="External"/><Relationship Id="rId14" Type="http://schemas.openxmlformats.org/officeDocument/2006/relationships/hyperlink" Target="https://afripoli.org/ai-in-africa-key-concerns-and-policy-considerations-for-the-future-of-the-contin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icholasidoko.com/blog/category/africa/" TargetMode="External"/><Relationship Id="rId2" Type="http://schemas.openxmlformats.org/officeDocument/2006/relationships/hyperlink" Target="https://share.google/s7zlRT8qE21qef90R" TargetMode="External"/><Relationship Id="rId1" Type="http://schemas.openxmlformats.org/officeDocument/2006/relationships/hyperlink" Target="mailto:eyonsagreatn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F4F4-3EFC-476B-9D21-DFFD7B6F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27</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Greatness Eyonsa</dc:creator>
  <cp:keywords/>
  <dc:description/>
  <cp:lastModifiedBy>Greatness Eyonsa</cp:lastModifiedBy>
  <cp:revision>297</cp:revision>
  <dcterms:created xsi:type="dcterms:W3CDTF">2025-11-24T03:50:00Z</dcterms:created>
  <dcterms:modified xsi:type="dcterms:W3CDTF">2025-12-08T08:35:00Z</dcterms:modified>
</cp:coreProperties>
</file>