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870E" w14:textId="77777777" w:rsidR="002248DD" w:rsidRPr="00547EA0" w:rsidRDefault="002248DD" w:rsidP="002248DD">
      <w:pPr>
        <w:pStyle w:val="ListParagraph"/>
        <w:ind w:left="1080"/>
        <w:rPr>
          <w:rFonts w:ascii="Times New Roman" w:eastAsia="Times New Roman" w:hAnsi="Times New Roman" w:cs="Times New Roman"/>
          <w:color w:val="000000"/>
          <w:sz w:val="23"/>
          <w:szCs w:val="23"/>
          <w:shd w:val="clear" w:color="auto" w:fill="FFFFFF"/>
        </w:rPr>
      </w:pPr>
    </w:p>
    <w:p w14:paraId="0248B78D" w14:textId="77777777" w:rsidR="0094340E" w:rsidRDefault="0094340E" w:rsidP="002248DD">
      <w:pPr>
        <w:spacing w:line="360" w:lineRule="auto"/>
        <w:jc w:val="center"/>
        <w:rPr>
          <w:b/>
        </w:rPr>
      </w:pPr>
    </w:p>
    <w:p w14:paraId="3AB64642" w14:textId="77777777" w:rsidR="0094340E" w:rsidRPr="003B2B43" w:rsidRDefault="0094340E" w:rsidP="0094340E">
      <w:pPr>
        <w:spacing w:line="360" w:lineRule="auto"/>
        <w:jc w:val="center"/>
        <w:rPr>
          <w:b/>
        </w:rPr>
      </w:pPr>
      <w:r w:rsidRPr="003B2B43">
        <w:rPr>
          <w:b/>
        </w:rPr>
        <w:t>UNIVERSITY OF LAGOS</w:t>
      </w:r>
    </w:p>
    <w:p w14:paraId="7DB227FE" w14:textId="77777777" w:rsidR="0094340E" w:rsidRPr="003B2B43" w:rsidRDefault="0094340E" w:rsidP="0094340E">
      <w:pPr>
        <w:spacing w:line="360" w:lineRule="auto"/>
        <w:jc w:val="center"/>
        <w:rPr>
          <w:b/>
        </w:rPr>
      </w:pPr>
      <w:r w:rsidRPr="003B2B43">
        <w:rPr>
          <w:b/>
        </w:rPr>
        <w:t xml:space="preserve">SCHOOL OF POST GRADUATE STUDIES </w:t>
      </w:r>
    </w:p>
    <w:p w14:paraId="36B54032" w14:textId="77777777" w:rsidR="0094340E" w:rsidRPr="003B2B43" w:rsidRDefault="0094340E" w:rsidP="0094340E">
      <w:pPr>
        <w:spacing w:line="360" w:lineRule="auto"/>
        <w:jc w:val="center"/>
        <w:rPr>
          <w:b/>
        </w:rPr>
      </w:pPr>
      <w:r w:rsidRPr="003B2B43">
        <w:rPr>
          <w:b/>
        </w:rPr>
        <w:t xml:space="preserve">FACULTY OF LAW </w:t>
      </w:r>
    </w:p>
    <w:p w14:paraId="626CA0FE" w14:textId="77777777" w:rsidR="0094340E" w:rsidRPr="003B2B43" w:rsidRDefault="0094340E" w:rsidP="0094340E">
      <w:pPr>
        <w:spacing w:line="360" w:lineRule="auto"/>
        <w:jc w:val="center"/>
        <w:rPr>
          <w:b/>
        </w:rPr>
      </w:pPr>
      <w:r>
        <w:rPr>
          <w:b/>
        </w:rPr>
        <w:t>(</w:t>
      </w:r>
      <w:r w:rsidRPr="003B2B43">
        <w:rPr>
          <w:b/>
        </w:rPr>
        <w:t>2023/2024 ACADEMIC SESSION</w:t>
      </w:r>
      <w:r>
        <w:rPr>
          <w:b/>
        </w:rPr>
        <w:t>)</w:t>
      </w:r>
    </w:p>
    <w:p w14:paraId="7C692083" w14:textId="77777777" w:rsidR="0094340E" w:rsidRPr="001604EC" w:rsidRDefault="0094340E" w:rsidP="0094340E">
      <w:pPr>
        <w:spacing w:line="360" w:lineRule="auto"/>
        <w:jc w:val="center"/>
        <w:rPr>
          <w:b/>
          <w:sz w:val="6"/>
          <w:szCs w:val="6"/>
        </w:rPr>
      </w:pPr>
    </w:p>
    <w:p w14:paraId="68114589" w14:textId="7D7A1314" w:rsidR="0094340E" w:rsidRPr="003B2B43" w:rsidRDefault="0094340E" w:rsidP="0094340E">
      <w:pPr>
        <w:tabs>
          <w:tab w:val="left" w:pos="426"/>
        </w:tabs>
        <w:spacing w:line="360" w:lineRule="auto"/>
        <w:rPr>
          <w:b/>
        </w:rPr>
      </w:pPr>
      <w:r w:rsidRPr="003B2B43">
        <w:t xml:space="preserve">                                   </w:t>
      </w:r>
      <w:r w:rsidRPr="003B2B43">
        <w:rPr>
          <w:b/>
        </w:rPr>
        <w:t>COURSE</w:t>
      </w:r>
      <w:r>
        <w:rPr>
          <w:b/>
        </w:rPr>
        <w:t xml:space="preserve"> TITLE</w:t>
      </w:r>
      <w:r w:rsidRPr="003B2B43">
        <w:rPr>
          <w:b/>
        </w:rPr>
        <w:t xml:space="preserve">: </w:t>
      </w:r>
      <w:r>
        <w:rPr>
          <w:b/>
        </w:rPr>
        <w:t xml:space="preserve">COMPANY LAW </w:t>
      </w:r>
      <w:r w:rsidRPr="003B2B43">
        <w:rPr>
          <w:b/>
        </w:rPr>
        <w:t xml:space="preserve">II </w:t>
      </w:r>
    </w:p>
    <w:p w14:paraId="79A59406" w14:textId="6D36FE3F" w:rsidR="0094340E" w:rsidRDefault="0094340E" w:rsidP="0094340E">
      <w:pPr>
        <w:spacing w:line="360" w:lineRule="auto"/>
        <w:jc w:val="center"/>
        <w:rPr>
          <w:b/>
        </w:rPr>
      </w:pPr>
      <w:r w:rsidRPr="003B2B43">
        <w:rPr>
          <w:b/>
        </w:rPr>
        <w:t>COURSE</w:t>
      </w:r>
      <w:r>
        <w:rPr>
          <w:b/>
        </w:rPr>
        <w:t xml:space="preserve"> CODE: CIL</w:t>
      </w:r>
      <w:r w:rsidRPr="003B2B43">
        <w:rPr>
          <w:b/>
        </w:rPr>
        <w:t xml:space="preserve"> 80</w:t>
      </w:r>
      <w:r>
        <w:rPr>
          <w:b/>
        </w:rPr>
        <w:t>3</w:t>
      </w:r>
    </w:p>
    <w:p w14:paraId="224C238E" w14:textId="77777777" w:rsidR="0094340E" w:rsidRDefault="0094340E" w:rsidP="0094340E">
      <w:pPr>
        <w:spacing w:line="360" w:lineRule="auto"/>
        <w:jc w:val="center"/>
        <w:rPr>
          <w:b/>
        </w:rPr>
      </w:pPr>
    </w:p>
    <w:p w14:paraId="44410173" w14:textId="42892B74" w:rsidR="0094340E" w:rsidRPr="00547EA0" w:rsidRDefault="0094340E" w:rsidP="0094340E">
      <w:pPr>
        <w:spacing w:line="360" w:lineRule="auto"/>
        <w:ind w:left="3600" w:firstLine="720"/>
        <w:rPr>
          <w:b/>
        </w:rPr>
      </w:pPr>
      <w:r>
        <w:rPr>
          <w:b/>
        </w:rPr>
        <w:t>TOPIC</w:t>
      </w:r>
      <w:r w:rsidRPr="00547EA0">
        <w:rPr>
          <w:b/>
        </w:rPr>
        <w:t xml:space="preserve"> 13</w:t>
      </w:r>
    </w:p>
    <w:p w14:paraId="392C2292" w14:textId="71C4B477" w:rsidR="0094340E" w:rsidRPr="003B2B43" w:rsidRDefault="0094340E" w:rsidP="0094340E">
      <w:pPr>
        <w:spacing w:line="360" w:lineRule="auto"/>
        <w:jc w:val="center"/>
        <w:rPr>
          <w:b/>
        </w:rPr>
      </w:pPr>
    </w:p>
    <w:p w14:paraId="2833576E" w14:textId="5F4CA935" w:rsidR="002248DD" w:rsidRPr="00547EA0" w:rsidRDefault="002248DD" w:rsidP="002248DD">
      <w:pPr>
        <w:spacing w:line="360" w:lineRule="auto"/>
        <w:jc w:val="center"/>
        <w:rPr>
          <w:b/>
        </w:rPr>
      </w:pPr>
      <w:r w:rsidRPr="00547EA0">
        <w:rPr>
          <w:b/>
        </w:rPr>
        <w:t>T</w:t>
      </w:r>
      <w:r w:rsidR="001462D3" w:rsidRPr="00547EA0">
        <w:rPr>
          <w:b/>
        </w:rPr>
        <w:t xml:space="preserve">HE TRUST DEED AND ITS IMPLICATIONS FOR </w:t>
      </w:r>
      <w:r w:rsidR="00D4074F" w:rsidRPr="00547EA0">
        <w:rPr>
          <w:b/>
        </w:rPr>
        <w:t xml:space="preserve">DEBT </w:t>
      </w:r>
      <w:r w:rsidR="001462D3" w:rsidRPr="00547EA0">
        <w:rPr>
          <w:b/>
        </w:rPr>
        <w:t xml:space="preserve">GOVERNANCE </w:t>
      </w:r>
    </w:p>
    <w:p w14:paraId="54ADCF02" w14:textId="77777777" w:rsidR="002248DD" w:rsidRPr="00547EA0" w:rsidRDefault="002248DD" w:rsidP="002248DD">
      <w:pPr>
        <w:spacing w:line="360" w:lineRule="auto"/>
        <w:jc w:val="center"/>
        <w:rPr>
          <w:b/>
        </w:rPr>
      </w:pPr>
    </w:p>
    <w:p w14:paraId="2AEB5479" w14:textId="77777777" w:rsidR="002248DD" w:rsidRPr="00547EA0" w:rsidRDefault="002248DD" w:rsidP="002248DD">
      <w:pPr>
        <w:spacing w:line="360" w:lineRule="auto"/>
        <w:jc w:val="center"/>
        <w:rPr>
          <w:b/>
        </w:rPr>
      </w:pPr>
    </w:p>
    <w:p w14:paraId="21146A25" w14:textId="77777777" w:rsidR="002248DD" w:rsidRPr="00547EA0" w:rsidRDefault="002248DD" w:rsidP="002248DD">
      <w:pPr>
        <w:spacing w:line="360" w:lineRule="auto"/>
        <w:jc w:val="center"/>
        <w:rPr>
          <w:rFonts w:eastAsia="Calibri"/>
          <w:b/>
        </w:rPr>
      </w:pPr>
      <w:r w:rsidRPr="00547EA0">
        <w:rPr>
          <w:b/>
        </w:rPr>
        <w:t>BEING A SEMINAR PAPER PRESENTATION ON</w:t>
      </w:r>
      <w:r w:rsidRPr="00547EA0">
        <w:rPr>
          <w:rFonts w:eastAsia="Calibri"/>
          <w:b/>
        </w:rPr>
        <w:t xml:space="preserve"> COMPARATIVE COMPANY</w:t>
      </w:r>
      <w:r w:rsidRPr="00547EA0">
        <w:rPr>
          <w:b/>
        </w:rPr>
        <w:t xml:space="preserve"> LAW </w:t>
      </w:r>
      <w:r w:rsidRPr="00547EA0">
        <w:rPr>
          <w:rFonts w:eastAsia="Calibri"/>
          <w:b/>
        </w:rPr>
        <w:t>SUBMITTED TO THE FACULTY OF LAW, UNIVERSITY OF LAGOS, LAGOS STATE NIGERIA IN PARTIAL FULFILMENT OF THE REQUIREMENTS FOR THE LL.M DEGREE PROGRAMME</w:t>
      </w:r>
    </w:p>
    <w:p w14:paraId="2738CC29" w14:textId="77777777" w:rsidR="002248DD" w:rsidRPr="00547EA0" w:rsidRDefault="002248DD" w:rsidP="002248DD">
      <w:pPr>
        <w:spacing w:line="360" w:lineRule="auto"/>
        <w:ind w:left="3600" w:firstLine="720"/>
        <w:rPr>
          <w:rFonts w:eastAsia="Calibri"/>
          <w:b/>
        </w:rPr>
      </w:pPr>
    </w:p>
    <w:p w14:paraId="48FCF5A5" w14:textId="0B9DA720" w:rsidR="002248DD" w:rsidRPr="00547EA0" w:rsidRDefault="0094340E" w:rsidP="002248DD">
      <w:pPr>
        <w:spacing w:line="360" w:lineRule="auto"/>
        <w:ind w:left="4320"/>
        <w:rPr>
          <w:rFonts w:eastAsia="Calibri"/>
          <w:b/>
        </w:rPr>
      </w:pPr>
      <w:r>
        <w:rPr>
          <w:rFonts w:eastAsia="Calibri"/>
          <w:b/>
        </w:rPr>
        <w:t xml:space="preserve">       BY</w:t>
      </w:r>
    </w:p>
    <w:p w14:paraId="6568969A" w14:textId="77777777" w:rsidR="002248DD" w:rsidRPr="00547EA0" w:rsidRDefault="002248DD" w:rsidP="002248DD">
      <w:pPr>
        <w:spacing w:line="360" w:lineRule="auto"/>
        <w:jc w:val="center"/>
        <w:rPr>
          <w:b/>
        </w:rPr>
      </w:pPr>
      <w:r w:rsidRPr="00547EA0">
        <w:rPr>
          <w:b/>
        </w:rPr>
        <w:t>OLUMIDE OLAYINKA PHILLIPS ----- MATRIC NO: 219061075</w:t>
      </w:r>
    </w:p>
    <w:p w14:paraId="78668CE6" w14:textId="77777777" w:rsidR="002248DD" w:rsidRPr="00547EA0" w:rsidRDefault="002248DD" w:rsidP="002248DD">
      <w:pPr>
        <w:spacing w:line="360" w:lineRule="auto"/>
        <w:jc w:val="center"/>
        <w:rPr>
          <w:b/>
        </w:rPr>
      </w:pPr>
    </w:p>
    <w:p w14:paraId="28CFD827" w14:textId="77777777" w:rsidR="002248DD" w:rsidRPr="00547EA0" w:rsidRDefault="002248DD" w:rsidP="0094340E">
      <w:pPr>
        <w:spacing w:line="360" w:lineRule="auto"/>
        <w:rPr>
          <w:rFonts w:eastAsia="Calibri"/>
          <w:b/>
        </w:rPr>
      </w:pPr>
    </w:p>
    <w:p w14:paraId="48A405E4" w14:textId="77777777" w:rsidR="002248DD" w:rsidRPr="00547EA0" w:rsidRDefault="002248DD" w:rsidP="002248DD">
      <w:pPr>
        <w:spacing w:line="360" w:lineRule="auto"/>
        <w:jc w:val="center"/>
        <w:rPr>
          <w:rFonts w:eastAsia="Calibri"/>
          <w:b/>
        </w:rPr>
      </w:pPr>
      <w:r w:rsidRPr="00547EA0">
        <w:rPr>
          <w:rFonts w:eastAsia="Calibri"/>
          <w:b/>
        </w:rPr>
        <w:t>SUPERVISING LECTURERS:</w:t>
      </w:r>
    </w:p>
    <w:p w14:paraId="5782DEBB" w14:textId="35A5E60C" w:rsidR="002248DD" w:rsidRPr="00547EA0" w:rsidRDefault="0094340E" w:rsidP="002248DD">
      <w:pPr>
        <w:spacing w:line="360" w:lineRule="auto"/>
        <w:jc w:val="center"/>
        <w:rPr>
          <w:rFonts w:eastAsia="Calibri"/>
          <w:b/>
        </w:rPr>
      </w:pPr>
      <w:r w:rsidRPr="00547EA0">
        <w:rPr>
          <w:rFonts w:eastAsia="Calibri"/>
          <w:b/>
        </w:rPr>
        <w:t>PROFESSOR IGE BOLODEOKU</w:t>
      </w:r>
    </w:p>
    <w:p w14:paraId="52A7A325" w14:textId="51454CC0" w:rsidR="002248DD" w:rsidRPr="00547EA0" w:rsidRDefault="0094340E" w:rsidP="002248DD">
      <w:pPr>
        <w:spacing w:line="360" w:lineRule="auto"/>
        <w:jc w:val="center"/>
        <w:rPr>
          <w:rFonts w:eastAsia="Calibri"/>
          <w:b/>
        </w:rPr>
      </w:pPr>
      <w:r w:rsidRPr="00547EA0">
        <w:rPr>
          <w:rFonts w:eastAsia="Calibri"/>
          <w:b/>
        </w:rPr>
        <w:t>PROF. J.E.O ABUGU (SAN)</w:t>
      </w:r>
    </w:p>
    <w:p w14:paraId="042A9BE9" w14:textId="0541EA7E" w:rsidR="002248DD" w:rsidRPr="00547EA0" w:rsidRDefault="0094340E" w:rsidP="002248DD">
      <w:pPr>
        <w:spacing w:line="360" w:lineRule="auto"/>
        <w:jc w:val="center"/>
        <w:rPr>
          <w:rFonts w:eastAsia="Calibri"/>
          <w:b/>
        </w:rPr>
      </w:pPr>
      <w:r w:rsidRPr="00547EA0">
        <w:rPr>
          <w:rFonts w:eastAsia="Calibri"/>
          <w:b/>
        </w:rPr>
        <w:t>DR. S.V. AKAAYAR</w:t>
      </w:r>
    </w:p>
    <w:p w14:paraId="289D7D0C" w14:textId="77777777" w:rsidR="0094340E" w:rsidRDefault="0094340E" w:rsidP="0094340E">
      <w:pPr>
        <w:spacing w:line="360" w:lineRule="auto"/>
        <w:jc w:val="center"/>
        <w:rPr>
          <w:rFonts w:eastAsia="Calibri"/>
          <w:b/>
        </w:rPr>
      </w:pPr>
    </w:p>
    <w:p w14:paraId="3CD305C2" w14:textId="77777777" w:rsidR="0094340E" w:rsidRDefault="0094340E" w:rsidP="0094340E">
      <w:pPr>
        <w:spacing w:line="360" w:lineRule="auto"/>
        <w:jc w:val="center"/>
        <w:rPr>
          <w:rFonts w:eastAsia="Calibri"/>
          <w:b/>
        </w:rPr>
      </w:pPr>
    </w:p>
    <w:p w14:paraId="0690B980" w14:textId="77777777" w:rsidR="0094340E" w:rsidRDefault="0094340E" w:rsidP="0094340E">
      <w:pPr>
        <w:spacing w:line="360" w:lineRule="auto"/>
        <w:jc w:val="center"/>
        <w:rPr>
          <w:rFonts w:eastAsia="Calibri"/>
          <w:b/>
        </w:rPr>
      </w:pPr>
    </w:p>
    <w:p w14:paraId="0A01D309" w14:textId="580D2B05" w:rsidR="0094340E" w:rsidRDefault="0094340E" w:rsidP="0094340E">
      <w:pPr>
        <w:spacing w:line="360" w:lineRule="auto"/>
        <w:jc w:val="center"/>
        <w:rPr>
          <w:rFonts w:eastAsia="Calibri"/>
          <w:b/>
        </w:rPr>
      </w:pPr>
      <w:r w:rsidRPr="00547EA0">
        <w:rPr>
          <w:rFonts w:eastAsia="Calibri"/>
          <w:b/>
        </w:rPr>
        <w:t>AUGUST 2024</w:t>
      </w:r>
    </w:p>
    <w:p w14:paraId="0C384566" w14:textId="77777777" w:rsidR="0094340E" w:rsidRDefault="0094340E">
      <w:pPr>
        <w:rPr>
          <w:rFonts w:eastAsia="Calibri"/>
          <w:b/>
        </w:rPr>
      </w:pPr>
      <w:r>
        <w:rPr>
          <w:rFonts w:eastAsia="Calibri"/>
          <w:b/>
        </w:rPr>
        <w:br w:type="page"/>
      </w:r>
    </w:p>
    <w:p w14:paraId="3D85FB79" w14:textId="77777777" w:rsidR="0032755E" w:rsidRPr="0094340E" w:rsidRDefault="0032755E" w:rsidP="0094340E">
      <w:pPr>
        <w:spacing w:line="360" w:lineRule="auto"/>
        <w:jc w:val="center"/>
        <w:rPr>
          <w:rFonts w:eastAsia="Calibri"/>
          <w:b/>
        </w:rPr>
      </w:pPr>
    </w:p>
    <w:p w14:paraId="7F109DE7" w14:textId="0D8A638A" w:rsidR="002248DD" w:rsidRPr="00547EA0" w:rsidRDefault="002248DD" w:rsidP="002248DD">
      <w:pPr>
        <w:spacing w:line="360" w:lineRule="auto"/>
        <w:jc w:val="center"/>
        <w:rPr>
          <w:b/>
        </w:rPr>
      </w:pPr>
      <w:r w:rsidRPr="00547EA0">
        <w:rPr>
          <w:b/>
        </w:rPr>
        <w:t>TABLE OF CONTENT</w:t>
      </w:r>
      <w:r w:rsidR="00547EA0" w:rsidRPr="00547EA0">
        <w:rPr>
          <w:b/>
        </w:rPr>
        <w:t>S</w:t>
      </w:r>
    </w:p>
    <w:p w14:paraId="3B86AA45" w14:textId="42AED95A" w:rsidR="002248DD" w:rsidRPr="00547EA0" w:rsidRDefault="0094340E" w:rsidP="0094340E">
      <w:pPr>
        <w:spacing w:line="360" w:lineRule="auto"/>
        <w:jc w:val="both"/>
      </w:pPr>
      <w:r>
        <w:t xml:space="preserve">Title Page. </w:t>
      </w:r>
    </w:p>
    <w:p w14:paraId="383EDC94" w14:textId="48D52C95" w:rsidR="002248DD" w:rsidRPr="00547EA0" w:rsidRDefault="002248DD" w:rsidP="0094340E">
      <w:pPr>
        <w:spacing w:line="360" w:lineRule="auto"/>
        <w:jc w:val="both"/>
      </w:pPr>
      <w:r w:rsidRPr="00547EA0">
        <w:t xml:space="preserve">Table of Content </w:t>
      </w:r>
    </w:p>
    <w:p w14:paraId="5EA0E67E" w14:textId="1668AAEA" w:rsidR="002248DD" w:rsidRPr="00547EA0" w:rsidRDefault="002248DD" w:rsidP="0094340E">
      <w:pPr>
        <w:spacing w:line="360" w:lineRule="auto"/>
        <w:jc w:val="both"/>
      </w:pPr>
      <w:r w:rsidRPr="00547EA0">
        <w:t>Abstract</w:t>
      </w:r>
    </w:p>
    <w:p w14:paraId="5DB7499C" w14:textId="01531ACB" w:rsidR="002248DD" w:rsidRPr="00547EA0" w:rsidRDefault="0094340E" w:rsidP="0094340E">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b/>
        </w:rPr>
        <w:t>PART ONE: INTRODUCTION</w:t>
      </w:r>
    </w:p>
    <w:p w14:paraId="36A9FB1C" w14:textId="3DE890AF" w:rsidR="00747DB2" w:rsidRPr="00547EA0" w:rsidRDefault="00747DB2" w:rsidP="0094340E">
      <w:pPr>
        <w:pStyle w:val="ListParagraph"/>
        <w:numPr>
          <w:ilvl w:val="1"/>
          <w:numId w:val="2"/>
        </w:numPr>
        <w:spacing w:line="360" w:lineRule="auto"/>
        <w:ind w:left="720"/>
        <w:jc w:val="both"/>
        <w:rPr>
          <w:rFonts w:ascii="Times New Roman" w:eastAsia="Times New Roman" w:hAnsi="Times New Roman" w:cs="Times New Roman"/>
          <w:color w:val="000000"/>
          <w:shd w:val="clear" w:color="auto" w:fill="FFFFFF"/>
        </w:rPr>
      </w:pPr>
      <w:r w:rsidRPr="00547EA0">
        <w:rPr>
          <w:rFonts w:ascii="Times New Roman" w:eastAsia="Times New Roman" w:hAnsi="Times New Roman" w:cs="Times New Roman"/>
          <w:color w:val="000000"/>
          <w:shd w:val="clear" w:color="auto" w:fill="FFFFFF"/>
        </w:rPr>
        <w:t xml:space="preserve">Background </w:t>
      </w:r>
      <w:r w:rsidR="0092469A">
        <w:rPr>
          <w:rFonts w:ascii="Times New Roman" w:eastAsia="Times New Roman" w:hAnsi="Times New Roman" w:cs="Times New Roman"/>
          <w:color w:val="000000"/>
          <w:shd w:val="clear" w:color="auto" w:fill="FFFFFF"/>
        </w:rPr>
        <w:t>to the Study</w:t>
      </w:r>
    </w:p>
    <w:p w14:paraId="434EABE9" w14:textId="01B0BAB4" w:rsidR="00747DB2" w:rsidRPr="00547EA0" w:rsidRDefault="00D52AE0" w:rsidP="0094340E">
      <w:pPr>
        <w:pStyle w:val="ListParagraph"/>
        <w:numPr>
          <w:ilvl w:val="1"/>
          <w:numId w:val="2"/>
        </w:numPr>
        <w:spacing w:line="360" w:lineRule="auto"/>
        <w:ind w:left="720"/>
        <w:jc w:val="both"/>
        <w:rPr>
          <w:rFonts w:ascii="Times New Roman" w:hAnsi="Times New Roman" w:cs="Times New Roman"/>
        </w:rPr>
      </w:pPr>
      <w:r w:rsidRPr="00547EA0">
        <w:rPr>
          <w:rFonts w:ascii="Times New Roman" w:hAnsi="Times New Roman" w:cs="Times New Roman"/>
        </w:rPr>
        <w:t>Research</w:t>
      </w:r>
      <w:r w:rsidR="0092469A">
        <w:rPr>
          <w:rFonts w:ascii="Times New Roman" w:hAnsi="Times New Roman" w:cs="Times New Roman"/>
        </w:rPr>
        <w:t xml:space="preserve"> Objectives</w:t>
      </w:r>
    </w:p>
    <w:p w14:paraId="72779D6E" w14:textId="6E816457" w:rsidR="00747DB2" w:rsidRPr="00547EA0" w:rsidRDefault="00747DB2" w:rsidP="0094340E">
      <w:pPr>
        <w:pStyle w:val="ListParagraph"/>
        <w:numPr>
          <w:ilvl w:val="1"/>
          <w:numId w:val="2"/>
        </w:numPr>
        <w:spacing w:line="360" w:lineRule="auto"/>
        <w:ind w:left="720"/>
        <w:jc w:val="both"/>
        <w:rPr>
          <w:rFonts w:ascii="Times New Roman" w:hAnsi="Times New Roman" w:cs="Times New Roman"/>
        </w:rPr>
      </w:pPr>
      <w:r w:rsidRPr="00547EA0">
        <w:rPr>
          <w:rFonts w:ascii="Times New Roman" w:hAnsi="Times New Roman" w:cs="Times New Roman"/>
        </w:rPr>
        <w:t>Research</w:t>
      </w:r>
      <w:r w:rsidR="0092469A">
        <w:rPr>
          <w:rFonts w:ascii="Times New Roman" w:hAnsi="Times New Roman" w:cs="Times New Roman"/>
        </w:rPr>
        <w:t xml:space="preserve"> Questions </w:t>
      </w:r>
    </w:p>
    <w:p w14:paraId="4CF500FD" w14:textId="3312D19C" w:rsidR="00747DB2" w:rsidRPr="00547EA0" w:rsidRDefault="00D52AE0" w:rsidP="0094340E">
      <w:pPr>
        <w:spacing w:line="360" w:lineRule="auto"/>
        <w:ind w:firstLine="360"/>
        <w:jc w:val="both"/>
      </w:pPr>
      <w:r w:rsidRPr="00547EA0">
        <w:t xml:space="preserve">1.4 </w:t>
      </w:r>
      <w:r w:rsidR="00E27D10" w:rsidRPr="00547EA0">
        <w:t xml:space="preserve">Operational </w:t>
      </w:r>
      <w:r w:rsidR="00747DB2" w:rsidRPr="00547EA0">
        <w:t>Definiti</w:t>
      </w:r>
      <w:r w:rsidR="0092469A">
        <w:t>on of Terms</w:t>
      </w:r>
    </w:p>
    <w:p w14:paraId="5B8FDDB5" w14:textId="1DCE5CE2" w:rsidR="002248DD" w:rsidRPr="00547EA0" w:rsidRDefault="00A76D89" w:rsidP="0094340E">
      <w:pPr>
        <w:spacing w:line="360" w:lineRule="auto"/>
        <w:jc w:val="both"/>
      </w:pPr>
      <w:r w:rsidRPr="00547EA0">
        <w:rPr>
          <w:b/>
        </w:rPr>
        <w:t>2.0 PART</w:t>
      </w:r>
      <w:r w:rsidR="002248DD" w:rsidRPr="00547EA0">
        <w:rPr>
          <w:b/>
        </w:rPr>
        <w:t xml:space="preserve"> TWO: </w:t>
      </w:r>
      <w:r w:rsidR="008051DB" w:rsidRPr="00547EA0">
        <w:rPr>
          <w:b/>
        </w:rPr>
        <w:t xml:space="preserve">BRIEF </w:t>
      </w:r>
      <w:r w:rsidR="002248DD" w:rsidRPr="00547EA0">
        <w:rPr>
          <w:b/>
        </w:rPr>
        <w:t xml:space="preserve">OVERVIEW OF </w:t>
      </w:r>
      <w:r w:rsidR="00747DB2" w:rsidRPr="00547EA0">
        <w:rPr>
          <w:b/>
        </w:rPr>
        <w:t xml:space="preserve">THE </w:t>
      </w:r>
      <w:r w:rsidR="002248DD" w:rsidRPr="00547EA0">
        <w:rPr>
          <w:b/>
        </w:rPr>
        <w:t>T</w:t>
      </w:r>
      <w:r w:rsidR="0092469A">
        <w:rPr>
          <w:b/>
        </w:rPr>
        <w:t>RUST DEED</w:t>
      </w:r>
    </w:p>
    <w:p w14:paraId="39394225" w14:textId="10CE1435" w:rsidR="002248DD" w:rsidRPr="00547EA0" w:rsidRDefault="002248DD" w:rsidP="0094340E">
      <w:pPr>
        <w:spacing w:line="360" w:lineRule="auto"/>
        <w:jc w:val="both"/>
        <w:rPr>
          <w:bCs/>
        </w:rPr>
      </w:pPr>
      <w:r w:rsidRPr="00547EA0">
        <w:rPr>
          <w:bCs/>
        </w:rPr>
        <w:t xml:space="preserve">      2.1 </w:t>
      </w:r>
      <w:r w:rsidR="00D51C5E" w:rsidRPr="00547EA0">
        <w:rPr>
          <w:color w:val="000000"/>
          <w:shd w:val="clear" w:color="auto" w:fill="FFFFFF"/>
        </w:rPr>
        <w:t xml:space="preserve">Historical Evolution </w:t>
      </w:r>
      <w:r w:rsidR="0020689C" w:rsidRPr="00547EA0">
        <w:rPr>
          <w:color w:val="000000"/>
          <w:shd w:val="clear" w:color="auto" w:fill="FFFFFF"/>
        </w:rPr>
        <w:t>of the</w:t>
      </w:r>
      <w:r w:rsidR="007D67A3" w:rsidRPr="00547EA0">
        <w:rPr>
          <w:color w:val="000000"/>
          <w:shd w:val="clear" w:color="auto" w:fill="FFFFFF"/>
        </w:rPr>
        <w:t xml:space="preserve"> </w:t>
      </w:r>
      <w:r w:rsidR="00D51C5E" w:rsidRPr="00547EA0">
        <w:rPr>
          <w:color w:val="000000"/>
          <w:shd w:val="clear" w:color="auto" w:fill="FFFFFF"/>
        </w:rPr>
        <w:t>Trust Deed</w:t>
      </w:r>
      <w:r w:rsidR="00D51C5E" w:rsidRPr="00547EA0">
        <w:rPr>
          <w:bCs/>
        </w:rPr>
        <w:t xml:space="preserve"> </w:t>
      </w:r>
    </w:p>
    <w:p w14:paraId="64AB53AA" w14:textId="4CEA0161" w:rsidR="002248DD" w:rsidRPr="00547EA0" w:rsidRDefault="002248DD" w:rsidP="0094340E">
      <w:pPr>
        <w:spacing w:line="360" w:lineRule="auto"/>
        <w:jc w:val="both"/>
        <w:rPr>
          <w:bCs/>
        </w:rPr>
      </w:pPr>
      <w:r w:rsidRPr="00547EA0">
        <w:rPr>
          <w:bCs/>
        </w:rPr>
        <w:t xml:space="preserve">      2.2 </w:t>
      </w:r>
      <w:r w:rsidR="00D51C5E" w:rsidRPr="00547EA0">
        <w:rPr>
          <w:color w:val="000000"/>
          <w:shd w:val="clear" w:color="auto" w:fill="FFFFFF"/>
        </w:rPr>
        <w:t>Legal Principles Underpinning Trust Deeds</w:t>
      </w:r>
      <w:r w:rsidR="00D51C5E" w:rsidRPr="00547EA0">
        <w:rPr>
          <w:bCs/>
        </w:rPr>
        <w:t xml:space="preserve"> </w:t>
      </w:r>
    </w:p>
    <w:p w14:paraId="1BB592E0" w14:textId="4843D50F" w:rsidR="002248DD" w:rsidRPr="00547EA0" w:rsidRDefault="002248DD" w:rsidP="0094340E">
      <w:pPr>
        <w:spacing w:line="360" w:lineRule="auto"/>
        <w:jc w:val="both"/>
        <w:rPr>
          <w:bCs/>
        </w:rPr>
      </w:pPr>
      <w:r w:rsidRPr="00547EA0">
        <w:rPr>
          <w:bCs/>
        </w:rPr>
        <w:t xml:space="preserve">      2.3 </w:t>
      </w:r>
      <w:r w:rsidR="00D51C5E" w:rsidRPr="00547EA0">
        <w:rPr>
          <w:color w:val="000000"/>
          <w:shd w:val="clear" w:color="auto" w:fill="FFFFFF"/>
        </w:rPr>
        <w:t>Concepts in Debt Governance</w:t>
      </w:r>
      <w:r w:rsidR="00D51C5E" w:rsidRPr="00547EA0">
        <w:rPr>
          <w:bCs/>
        </w:rPr>
        <w:t xml:space="preserve"> </w:t>
      </w:r>
    </w:p>
    <w:p w14:paraId="77ACC1E2" w14:textId="6D516CB9" w:rsidR="00D51C5E" w:rsidRPr="00547EA0" w:rsidRDefault="00D51C5E" w:rsidP="0094340E">
      <w:pPr>
        <w:spacing w:line="360" w:lineRule="auto"/>
        <w:jc w:val="both"/>
        <w:rPr>
          <w:bCs/>
        </w:rPr>
      </w:pPr>
      <w:r w:rsidRPr="00547EA0">
        <w:rPr>
          <w:bCs/>
        </w:rPr>
        <w:t xml:space="preserve">      2.4 </w:t>
      </w:r>
      <w:r w:rsidRPr="00547EA0">
        <w:rPr>
          <w:color w:val="000000"/>
          <w:shd w:val="clear" w:color="auto" w:fill="FFFFFF"/>
        </w:rPr>
        <w:t xml:space="preserve">Role </w:t>
      </w:r>
      <w:proofErr w:type="gramStart"/>
      <w:r w:rsidRPr="00547EA0">
        <w:rPr>
          <w:color w:val="000000"/>
          <w:shd w:val="clear" w:color="auto" w:fill="FFFFFF"/>
        </w:rPr>
        <w:t>Of</w:t>
      </w:r>
      <w:proofErr w:type="gramEnd"/>
      <w:r w:rsidRPr="00547EA0">
        <w:rPr>
          <w:color w:val="000000"/>
          <w:shd w:val="clear" w:color="auto" w:fill="FFFFFF"/>
        </w:rPr>
        <w:t xml:space="preserve"> Trust Deeds In Debt Governance</w:t>
      </w:r>
    </w:p>
    <w:p w14:paraId="1FD0675B" w14:textId="67C4F1F6" w:rsidR="002248DD" w:rsidRPr="00547EA0" w:rsidRDefault="00EF1DA6" w:rsidP="0094340E">
      <w:pPr>
        <w:spacing w:line="360" w:lineRule="auto"/>
        <w:ind w:left="360" w:hanging="810"/>
        <w:jc w:val="both"/>
        <w:rPr>
          <w:bCs/>
        </w:rPr>
      </w:pPr>
      <w:r w:rsidRPr="00547EA0">
        <w:rPr>
          <w:b/>
          <w:bCs/>
        </w:rPr>
        <w:t xml:space="preserve">      </w:t>
      </w:r>
      <w:r w:rsidR="002248DD" w:rsidRPr="00547EA0">
        <w:rPr>
          <w:b/>
          <w:bCs/>
        </w:rPr>
        <w:t>3.0</w:t>
      </w:r>
      <w:r w:rsidR="00E14AC3" w:rsidRPr="00547EA0">
        <w:rPr>
          <w:b/>
          <w:bCs/>
        </w:rPr>
        <w:tab/>
      </w:r>
      <w:r w:rsidR="002248DD" w:rsidRPr="00547EA0">
        <w:rPr>
          <w:b/>
          <w:bCs/>
        </w:rPr>
        <w:t xml:space="preserve">PART THREE: </w:t>
      </w:r>
      <w:r w:rsidR="002248DD" w:rsidRPr="00547EA0">
        <w:rPr>
          <w:b/>
        </w:rPr>
        <w:t xml:space="preserve">IMPLICATIONS FOR </w:t>
      </w:r>
      <w:r w:rsidR="00D51C5E" w:rsidRPr="00547EA0">
        <w:rPr>
          <w:b/>
        </w:rPr>
        <w:t xml:space="preserve">DEBT </w:t>
      </w:r>
      <w:r w:rsidR="00D51C5E" w:rsidRPr="00547EA0">
        <w:rPr>
          <w:b/>
          <w:color w:val="000000"/>
          <w:shd w:val="clear" w:color="auto" w:fill="FFFFFF"/>
        </w:rPr>
        <w:t>GOVERNANCE AND PRACTICE</w:t>
      </w:r>
    </w:p>
    <w:p w14:paraId="1919C895" w14:textId="098354D8" w:rsidR="002248DD" w:rsidRPr="00547EA0" w:rsidRDefault="002248DD" w:rsidP="0094340E">
      <w:pPr>
        <w:spacing w:line="360" w:lineRule="auto"/>
        <w:jc w:val="both"/>
        <w:rPr>
          <w:bCs/>
        </w:rPr>
      </w:pPr>
      <w:r w:rsidRPr="00547EA0">
        <w:rPr>
          <w:b/>
          <w:bCs/>
        </w:rPr>
        <w:t xml:space="preserve">       </w:t>
      </w:r>
      <w:r w:rsidRPr="00547EA0">
        <w:rPr>
          <w:bCs/>
        </w:rPr>
        <w:t xml:space="preserve">3.1 </w:t>
      </w:r>
      <w:r w:rsidR="009B075F" w:rsidRPr="00547EA0">
        <w:rPr>
          <w:color w:val="000000"/>
          <w:shd w:val="clear" w:color="auto" w:fill="FFFFFF"/>
        </w:rPr>
        <w:t>Mechanisms of Control and Oversight</w:t>
      </w:r>
      <w:r w:rsidR="009B075F" w:rsidRPr="00547EA0">
        <w:rPr>
          <w:bCs/>
        </w:rPr>
        <w:t xml:space="preserve"> </w:t>
      </w:r>
    </w:p>
    <w:p w14:paraId="0D30AA4A" w14:textId="0E5A9A38" w:rsidR="002248DD" w:rsidRPr="00547EA0" w:rsidRDefault="002248DD" w:rsidP="0094340E">
      <w:pPr>
        <w:spacing w:line="360" w:lineRule="auto"/>
        <w:jc w:val="both"/>
        <w:rPr>
          <w:bCs/>
        </w:rPr>
      </w:pPr>
      <w:r w:rsidRPr="00547EA0">
        <w:rPr>
          <w:bCs/>
        </w:rPr>
        <w:t xml:space="preserve">       3.2</w:t>
      </w:r>
      <w:r w:rsidR="009B075F" w:rsidRPr="00547EA0">
        <w:rPr>
          <w:color w:val="000000"/>
          <w:shd w:val="clear" w:color="auto" w:fill="FFFFFF"/>
        </w:rPr>
        <w:t>How Trust Deeds Enhance Creditor</w:t>
      </w:r>
      <w:r w:rsidR="00016977" w:rsidRPr="00547EA0">
        <w:rPr>
          <w:color w:val="000000"/>
          <w:shd w:val="clear" w:color="auto" w:fill="FFFFFF"/>
        </w:rPr>
        <w:t xml:space="preserve"> </w:t>
      </w:r>
      <w:r w:rsidR="009B075F" w:rsidRPr="00547EA0">
        <w:rPr>
          <w:color w:val="000000"/>
          <w:shd w:val="clear" w:color="auto" w:fill="FFFFFF"/>
        </w:rPr>
        <w:t>Protection</w:t>
      </w:r>
      <w:r w:rsidR="009B075F" w:rsidRPr="00547EA0">
        <w:rPr>
          <w:bCs/>
        </w:rPr>
        <w:t xml:space="preserve"> </w:t>
      </w:r>
    </w:p>
    <w:p w14:paraId="1F01882A" w14:textId="22E385A7" w:rsidR="002248DD" w:rsidRPr="00547EA0" w:rsidRDefault="002248DD" w:rsidP="0094340E">
      <w:pPr>
        <w:spacing w:line="360" w:lineRule="auto"/>
        <w:ind w:left="420"/>
        <w:jc w:val="both"/>
        <w:rPr>
          <w:bCs/>
        </w:rPr>
      </w:pPr>
      <w:r w:rsidRPr="00547EA0">
        <w:rPr>
          <w:bCs/>
        </w:rPr>
        <w:t>3.3</w:t>
      </w:r>
      <w:r w:rsidR="009B075F" w:rsidRPr="00547EA0">
        <w:rPr>
          <w:color w:val="000000"/>
          <w:shd w:val="clear" w:color="auto" w:fill="FFFFFF"/>
        </w:rPr>
        <w:t>Trustee Responsibilities in Monitoring Debtor Compliance</w:t>
      </w:r>
    </w:p>
    <w:p w14:paraId="1F5CE31A" w14:textId="2BAD0B4D" w:rsidR="009B075F" w:rsidRPr="00547EA0" w:rsidRDefault="009B075F" w:rsidP="0094340E">
      <w:pPr>
        <w:spacing w:line="360" w:lineRule="auto"/>
        <w:ind w:left="630" w:hanging="630"/>
        <w:jc w:val="both"/>
        <w:rPr>
          <w:bCs/>
        </w:rPr>
      </w:pPr>
      <w:r w:rsidRPr="00547EA0">
        <w:rPr>
          <w:bCs/>
        </w:rPr>
        <w:t xml:space="preserve">       3.4</w:t>
      </w:r>
      <w:r w:rsidRPr="00547EA0">
        <w:rPr>
          <w:color w:val="000000"/>
          <w:shd w:val="clear" w:color="auto" w:fill="FFFFFF"/>
        </w:rPr>
        <w:t>Trust Deeds as Tools for Managin</w:t>
      </w:r>
      <w:r w:rsidR="0092469A">
        <w:rPr>
          <w:color w:val="000000"/>
          <w:shd w:val="clear" w:color="auto" w:fill="FFFFFF"/>
        </w:rPr>
        <w:t>g Credit Risk</w:t>
      </w:r>
    </w:p>
    <w:p w14:paraId="18D17E57" w14:textId="289763B6" w:rsidR="002248DD" w:rsidRPr="00547EA0" w:rsidRDefault="002248DD" w:rsidP="0094340E">
      <w:pPr>
        <w:spacing w:line="360" w:lineRule="auto"/>
        <w:ind w:left="360" w:hanging="360"/>
        <w:jc w:val="both"/>
      </w:pPr>
      <w:r w:rsidRPr="00547EA0">
        <w:rPr>
          <w:b/>
          <w:bCs/>
        </w:rPr>
        <w:t xml:space="preserve">4.0 PART FOUR: A </w:t>
      </w:r>
      <w:r w:rsidR="00872943" w:rsidRPr="00547EA0">
        <w:rPr>
          <w:b/>
          <w:color w:val="000000"/>
          <w:sz w:val="23"/>
          <w:szCs w:val="23"/>
          <w:shd w:val="clear" w:color="auto" w:fill="FFFFFF"/>
        </w:rPr>
        <w:t>COMPARATIVE ANALYSIS</w:t>
      </w:r>
      <w:r w:rsidR="00872943" w:rsidRPr="00547EA0">
        <w:rPr>
          <w:b/>
          <w:bCs/>
        </w:rPr>
        <w:t xml:space="preserve"> </w:t>
      </w:r>
      <w:r w:rsidRPr="00547EA0">
        <w:rPr>
          <w:b/>
          <w:bCs/>
        </w:rPr>
        <w:t>OF THE</w:t>
      </w:r>
      <w:r w:rsidR="00575A6B" w:rsidRPr="00547EA0">
        <w:rPr>
          <w:b/>
          <w:bCs/>
        </w:rPr>
        <w:t xml:space="preserve"> </w:t>
      </w:r>
      <w:r w:rsidR="00C82121" w:rsidRPr="00547EA0">
        <w:rPr>
          <w:b/>
          <w:bCs/>
        </w:rPr>
        <w:t xml:space="preserve">LEGAL FRAMEWORKS FOR </w:t>
      </w:r>
      <w:r w:rsidR="00575A6B" w:rsidRPr="00547EA0">
        <w:rPr>
          <w:b/>
          <w:bCs/>
        </w:rPr>
        <w:t>TRUST DEED</w:t>
      </w:r>
      <w:r w:rsidR="00C82121" w:rsidRPr="00547EA0">
        <w:rPr>
          <w:b/>
          <w:bCs/>
        </w:rPr>
        <w:t>S</w:t>
      </w:r>
      <w:r w:rsidR="00C600D4" w:rsidRPr="00547EA0">
        <w:rPr>
          <w:b/>
          <w:bCs/>
        </w:rPr>
        <w:t xml:space="preserve"> IN DIFFERENT JURISDICTIONS</w:t>
      </w:r>
    </w:p>
    <w:p w14:paraId="0DEA7DF2" w14:textId="3E37C2F0" w:rsidR="00872943" w:rsidRPr="00547EA0" w:rsidRDefault="007D3AD7" w:rsidP="0094340E">
      <w:pPr>
        <w:spacing w:line="360" w:lineRule="auto"/>
        <w:ind w:left="360" w:hanging="360"/>
        <w:jc w:val="both"/>
        <w:rPr>
          <w:bCs/>
        </w:rPr>
      </w:pPr>
      <w:r w:rsidRPr="00547EA0">
        <w:rPr>
          <w:b/>
          <w:bCs/>
        </w:rPr>
        <w:t xml:space="preserve">       </w:t>
      </w:r>
      <w:r w:rsidRPr="00547EA0">
        <w:rPr>
          <w:bCs/>
        </w:rPr>
        <w:t>4.1</w:t>
      </w:r>
      <w:r w:rsidRPr="00547EA0">
        <w:rPr>
          <w:b/>
          <w:bCs/>
        </w:rPr>
        <w:t xml:space="preserve"> </w:t>
      </w:r>
      <w:r w:rsidR="00872943" w:rsidRPr="00547EA0">
        <w:rPr>
          <w:bCs/>
        </w:rPr>
        <w:t xml:space="preserve">Trust Deed Law </w:t>
      </w:r>
      <w:r w:rsidR="0092469A">
        <w:rPr>
          <w:bCs/>
        </w:rPr>
        <w:t>and Practice in Nigeria</w:t>
      </w:r>
    </w:p>
    <w:p w14:paraId="7A62345C" w14:textId="7C3E5271" w:rsidR="007D3AD7" w:rsidRPr="00547EA0" w:rsidRDefault="00872943" w:rsidP="0094340E">
      <w:pPr>
        <w:spacing w:line="360" w:lineRule="auto"/>
        <w:ind w:left="360" w:hanging="360"/>
        <w:jc w:val="both"/>
        <w:rPr>
          <w:bCs/>
        </w:rPr>
      </w:pPr>
      <w:r w:rsidRPr="00547EA0">
        <w:rPr>
          <w:color w:val="000000"/>
          <w:shd w:val="clear" w:color="auto" w:fill="FFFFFF"/>
        </w:rPr>
        <w:t xml:space="preserve">       4.2Comparison of trust deed practices in the United States </w:t>
      </w:r>
    </w:p>
    <w:p w14:paraId="701EB770" w14:textId="5F4D0EC1" w:rsidR="007D3AD7" w:rsidRPr="00547EA0" w:rsidRDefault="007D3AD7" w:rsidP="0094340E">
      <w:pPr>
        <w:spacing w:line="360" w:lineRule="auto"/>
        <w:ind w:left="360" w:hanging="360"/>
        <w:jc w:val="both"/>
        <w:rPr>
          <w:color w:val="000000"/>
          <w:shd w:val="clear" w:color="auto" w:fill="FFFFFF"/>
        </w:rPr>
      </w:pPr>
      <w:r w:rsidRPr="00547EA0">
        <w:rPr>
          <w:b/>
          <w:bCs/>
        </w:rPr>
        <w:t xml:space="preserve">       </w:t>
      </w:r>
      <w:r w:rsidRPr="00547EA0">
        <w:rPr>
          <w:bCs/>
        </w:rPr>
        <w:t>4.</w:t>
      </w:r>
      <w:r w:rsidR="00872943" w:rsidRPr="00547EA0">
        <w:rPr>
          <w:bCs/>
        </w:rPr>
        <w:t>3</w:t>
      </w:r>
      <w:r w:rsidRPr="00547EA0">
        <w:rPr>
          <w:b/>
          <w:bCs/>
        </w:rPr>
        <w:t xml:space="preserve"> </w:t>
      </w:r>
      <w:r w:rsidR="00872943" w:rsidRPr="00547EA0">
        <w:rPr>
          <w:color w:val="000000"/>
          <w:shd w:val="clear" w:color="auto" w:fill="FFFFFF"/>
        </w:rPr>
        <w:t xml:space="preserve">Comparison of trust deed </w:t>
      </w:r>
      <w:r w:rsidR="0092469A">
        <w:rPr>
          <w:color w:val="000000"/>
          <w:shd w:val="clear" w:color="auto" w:fill="FFFFFF"/>
        </w:rPr>
        <w:t>practices in the United Kingdom</w:t>
      </w:r>
    </w:p>
    <w:p w14:paraId="398B648B" w14:textId="1F26FAA4" w:rsidR="00025691" w:rsidRPr="00547EA0" w:rsidRDefault="00872943" w:rsidP="0094340E">
      <w:pPr>
        <w:spacing w:line="360" w:lineRule="auto"/>
        <w:rPr>
          <w:color w:val="000000"/>
          <w:shd w:val="clear" w:color="auto" w:fill="FFFFFF"/>
        </w:rPr>
      </w:pPr>
      <w:r w:rsidRPr="00547EA0">
        <w:rPr>
          <w:bCs/>
        </w:rPr>
        <w:t xml:space="preserve">       </w:t>
      </w:r>
      <w:r w:rsidR="001A4056" w:rsidRPr="00547EA0">
        <w:rPr>
          <w:bCs/>
        </w:rPr>
        <w:t>4</w:t>
      </w:r>
      <w:r w:rsidR="00025691" w:rsidRPr="00547EA0">
        <w:rPr>
          <w:bCs/>
        </w:rPr>
        <w:t>.</w:t>
      </w:r>
      <w:r w:rsidRPr="00547EA0">
        <w:rPr>
          <w:bCs/>
        </w:rPr>
        <w:t>4</w:t>
      </w:r>
      <w:r w:rsidR="00025691" w:rsidRPr="00547EA0">
        <w:rPr>
          <w:bCs/>
        </w:rPr>
        <w:t xml:space="preserve"> </w:t>
      </w:r>
      <w:r w:rsidRPr="00547EA0">
        <w:rPr>
          <w:color w:val="000000"/>
          <w:shd w:val="clear" w:color="auto" w:fill="FFFFFF"/>
        </w:rPr>
        <w:t xml:space="preserve">Impact of regulatory frameworks on </w:t>
      </w:r>
      <w:r w:rsidR="00A820F6" w:rsidRPr="00547EA0">
        <w:rPr>
          <w:color w:val="000000"/>
          <w:shd w:val="clear" w:color="auto" w:fill="FFFFFF"/>
        </w:rPr>
        <w:t xml:space="preserve">the efficacy of </w:t>
      </w:r>
      <w:r w:rsidRPr="00547EA0">
        <w:rPr>
          <w:color w:val="000000"/>
          <w:shd w:val="clear" w:color="auto" w:fill="FFFFFF"/>
        </w:rPr>
        <w:t>trust deed</w:t>
      </w:r>
      <w:r w:rsidR="0092469A">
        <w:rPr>
          <w:color w:val="000000"/>
          <w:shd w:val="clear" w:color="auto" w:fill="FFFFFF"/>
        </w:rPr>
        <w:t>s</w:t>
      </w:r>
    </w:p>
    <w:p w14:paraId="37E8833B" w14:textId="559CB382" w:rsidR="002248DD" w:rsidRPr="00547EA0" w:rsidRDefault="002248DD" w:rsidP="0094340E">
      <w:pPr>
        <w:spacing w:line="360" w:lineRule="auto"/>
        <w:ind w:left="360" w:hanging="360"/>
        <w:jc w:val="both"/>
        <w:rPr>
          <w:bCs/>
        </w:rPr>
      </w:pPr>
      <w:r w:rsidRPr="00547EA0">
        <w:rPr>
          <w:b/>
          <w:bCs/>
        </w:rPr>
        <w:t>5.0</w:t>
      </w:r>
      <w:r w:rsidR="00E14AC3" w:rsidRPr="00547EA0">
        <w:rPr>
          <w:b/>
          <w:bCs/>
        </w:rPr>
        <w:tab/>
      </w:r>
      <w:r w:rsidRPr="00547EA0">
        <w:rPr>
          <w:b/>
          <w:bCs/>
        </w:rPr>
        <w:t xml:space="preserve">PART FIVE: </w:t>
      </w:r>
      <w:r w:rsidR="00D51C5E" w:rsidRPr="00547EA0">
        <w:rPr>
          <w:b/>
          <w:bCs/>
        </w:rPr>
        <w:t xml:space="preserve">FINDINGS, </w:t>
      </w:r>
      <w:r w:rsidR="0092469A">
        <w:rPr>
          <w:b/>
          <w:bCs/>
        </w:rPr>
        <w:t>CONCLUSION AND RECOMMENDATION</w:t>
      </w:r>
    </w:p>
    <w:p w14:paraId="2AB3DAE9" w14:textId="3B0E4225" w:rsidR="00D51C5E" w:rsidRPr="00547EA0" w:rsidRDefault="00D51C5E" w:rsidP="0094340E">
      <w:pPr>
        <w:spacing w:line="360" w:lineRule="auto"/>
        <w:ind w:left="360" w:hanging="360"/>
        <w:jc w:val="both"/>
        <w:rPr>
          <w:bCs/>
        </w:rPr>
      </w:pPr>
      <w:r w:rsidRPr="00547EA0">
        <w:rPr>
          <w:b/>
          <w:bCs/>
        </w:rPr>
        <w:t xml:space="preserve">       </w:t>
      </w:r>
      <w:r w:rsidRPr="00547EA0">
        <w:rPr>
          <w:bCs/>
        </w:rPr>
        <w:t>5.1 Finding</w:t>
      </w:r>
      <w:r w:rsidR="0092469A">
        <w:rPr>
          <w:bCs/>
        </w:rPr>
        <w:t>s</w:t>
      </w:r>
    </w:p>
    <w:p w14:paraId="100E172A" w14:textId="4EC15E0D" w:rsidR="00D51C5E" w:rsidRPr="00547EA0" w:rsidRDefault="00D51C5E" w:rsidP="0094340E">
      <w:pPr>
        <w:spacing w:line="360" w:lineRule="auto"/>
        <w:ind w:left="360" w:hanging="360"/>
        <w:jc w:val="both"/>
        <w:rPr>
          <w:bCs/>
        </w:rPr>
      </w:pPr>
      <w:r w:rsidRPr="00547EA0">
        <w:rPr>
          <w:bCs/>
        </w:rPr>
        <w:t xml:space="preserve">       5.2 Conc</w:t>
      </w:r>
      <w:r w:rsidR="0092469A">
        <w:rPr>
          <w:bCs/>
        </w:rPr>
        <w:t>lusion</w:t>
      </w:r>
    </w:p>
    <w:p w14:paraId="2A859A71" w14:textId="56891CD8" w:rsidR="00D51C5E" w:rsidRPr="00547EA0" w:rsidRDefault="00D51C5E" w:rsidP="0094340E">
      <w:pPr>
        <w:spacing w:line="360" w:lineRule="auto"/>
        <w:ind w:left="360" w:hanging="360"/>
        <w:jc w:val="both"/>
        <w:rPr>
          <w:bCs/>
        </w:rPr>
      </w:pPr>
      <w:r w:rsidRPr="00547EA0">
        <w:rPr>
          <w:bCs/>
        </w:rPr>
        <w:t xml:space="preserve">       5.3 Recomm</w:t>
      </w:r>
      <w:r w:rsidR="0092469A">
        <w:rPr>
          <w:bCs/>
        </w:rPr>
        <w:t>endation</w:t>
      </w:r>
    </w:p>
    <w:p w14:paraId="1E68098C" w14:textId="77777777" w:rsidR="004D530D" w:rsidRPr="00547EA0" w:rsidRDefault="004D530D" w:rsidP="00547EA0">
      <w:pPr>
        <w:spacing w:line="360" w:lineRule="auto"/>
        <w:rPr>
          <w:b/>
          <w:iCs/>
        </w:rPr>
      </w:pPr>
    </w:p>
    <w:p w14:paraId="6E061E6A" w14:textId="77777777" w:rsidR="0092469A" w:rsidRDefault="0092469A">
      <w:pPr>
        <w:rPr>
          <w:b/>
          <w:iCs/>
        </w:rPr>
      </w:pPr>
      <w:r>
        <w:rPr>
          <w:b/>
          <w:iCs/>
        </w:rPr>
        <w:br w:type="page"/>
      </w:r>
    </w:p>
    <w:p w14:paraId="7A59DE85" w14:textId="0D757495" w:rsidR="002248DD" w:rsidRPr="00547EA0" w:rsidRDefault="002248DD" w:rsidP="002248DD">
      <w:pPr>
        <w:spacing w:line="360" w:lineRule="auto"/>
        <w:jc w:val="center"/>
        <w:rPr>
          <w:b/>
          <w:iCs/>
        </w:rPr>
      </w:pPr>
      <w:r w:rsidRPr="00547EA0">
        <w:rPr>
          <w:b/>
          <w:iCs/>
        </w:rPr>
        <w:lastRenderedPageBreak/>
        <w:t>ABSTRACT</w:t>
      </w:r>
    </w:p>
    <w:p w14:paraId="61FF6E62" w14:textId="7AF9E3BA" w:rsidR="00123046" w:rsidRPr="00547EA0" w:rsidRDefault="00D06852" w:rsidP="00123046">
      <w:pPr>
        <w:jc w:val="both"/>
        <w:rPr>
          <w:i/>
        </w:rPr>
      </w:pPr>
      <w:r w:rsidRPr="00547EA0">
        <w:rPr>
          <w:i/>
          <w:color w:val="333333"/>
          <w:shd w:val="clear" w:color="auto" w:fill="FFFFFF"/>
        </w:rPr>
        <w:t>This paper examines the role of trust deeds in corporate debt governance, with a particular focus on their implications for creditor protection and debtor obligations. Through a comparative analysis of the legal frameworks governing trust deeds in Nigeria, the United States, and the United Kingdom, the study highlights the strengths and weaknesses of each system in regulating trust deeds and ensuring effective debt governance</w:t>
      </w:r>
      <w:r w:rsidR="00123046" w:rsidRPr="00547EA0">
        <w:rPr>
          <w:i/>
          <w:color w:val="333333"/>
          <w:shd w:val="clear" w:color="auto" w:fill="FFFFFF"/>
        </w:rPr>
        <w:t>.</w:t>
      </w:r>
      <w:r w:rsidRPr="00547EA0">
        <w:rPr>
          <w:i/>
          <w:color w:val="333333"/>
          <w:shd w:val="clear" w:color="auto" w:fill="FFFFFF"/>
        </w:rPr>
        <w:t xml:space="preserve"> This research finds that while trust deeds are essential tools for managing credit risk and enforcing debt agreements, the Nigerian framework lacks the robust regulatory oversight and detailed covenants that characterize international standards. This gap potentially exposes creditors to higher risks and weakens enforceability of debtor obligations. The paper concludes by advocating for targeted reforms in Nigeria’s legal framework to enhance the effectiveness of trust deeds, drawing on best practices from more developed legal systems.</w:t>
      </w:r>
    </w:p>
    <w:p w14:paraId="64BA8ED2" w14:textId="74B5154F" w:rsidR="002248DD" w:rsidRPr="00547EA0" w:rsidRDefault="002248DD" w:rsidP="002248DD">
      <w:pPr>
        <w:jc w:val="both"/>
      </w:pPr>
      <w:r w:rsidRPr="00547EA0">
        <w:t>.</w:t>
      </w:r>
    </w:p>
    <w:p w14:paraId="64060DE4" w14:textId="49DA65CB" w:rsidR="002248DD" w:rsidRPr="00547EA0" w:rsidRDefault="004D530D" w:rsidP="002248DD">
      <w:pPr>
        <w:spacing w:line="360" w:lineRule="auto"/>
        <w:jc w:val="both"/>
        <w:rPr>
          <w:b/>
        </w:rPr>
      </w:pPr>
      <w:r w:rsidRPr="00547EA0">
        <w:rPr>
          <w:rFonts w:ascii="Tahoma" w:hAnsi="Tahoma" w:cs="Tahoma"/>
        </w:rPr>
        <w:t>﻿</w:t>
      </w:r>
      <w:r w:rsidRPr="00547EA0">
        <w:rPr>
          <w:b/>
        </w:rPr>
        <w:t>Keywords: trust</w:t>
      </w:r>
      <w:r w:rsidR="0047157C" w:rsidRPr="00547EA0">
        <w:rPr>
          <w:b/>
        </w:rPr>
        <w:t xml:space="preserve"> deeds; trust</w:t>
      </w:r>
      <w:r w:rsidRPr="00547EA0">
        <w:rPr>
          <w:b/>
        </w:rPr>
        <w:t xml:space="preserve">ee; fiscal agent; </w:t>
      </w:r>
      <w:r w:rsidR="0047157C" w:rsidRPr="00547EA0">
        <w:rPr>
          <w:b/>
        </w:rPr>
        <w:t>debenture</w:t>
      </w:r>
      <w:r w:rsidRPr="00547EA0">
        <w:rPr>
          <w:b/>
        </w:rPr>
        <w:t>; de</w:t>
      </w:r>
      <w:r w:rsidR="0047157C" w:rsidRPr="00547EA0">
        <w:rPr>
          <w:b/>
        </w:rPr>
        <w:t>bt governance</w:t>
      </w:r>
      <w:r w:rsidRPr="00547EA0">
        <w:rPr>
          <w:b/>
        </w:rPr>
        <w:t xml:space="preserve">; </w:t>
      </w:r>
      <w:r w:rsidR="0047157C" w:rsidRPr="00547EA0">
        <w:rPr>
          <w:b/>
        </w:rPr>
        <w:t>covenants</w:t>
      </w:r>
      <w:r w:rsidRPr="00547EA0">
        <w:rPr>
          <w:b/>
        </w:rPr>
        <w:t xml:space="preserve">; </w:t>
      </w:r>
      <w:r w:rsidR="0047157C" w:rsidRPr="00547EA0">
        <w:rPr>
          <w:b/>
        </w:rPr>
        <w:t>legal framework.</w:t>
      </w:r>
      <w:r w:rsidR="002248DD" w:rsidRPr="00547EA0">
        <w:rPr>
          <w:b/>
        </w:rPr>
        <w:br w:type="page"/>
      </w:r>
    </w:p>
    <w:p w14:paraId="54085AC2" w14:textId="64775AA3" w:rsidR="002248DD" w:rsidRPr="00547EA0" w:rsidRDefault="006F7548" w:rsidP="006F7548">
      <w:pPr>
        <w:rPr>
          <w:b/>
          <w:color w:val="000000"/>
          <w:sz w:val="23"/>
          <w:szCs w:val="23"/>
          <w:shd w:val="clear" w:color="auto" w:fill="FFFFFF"/>
        </w:rPr>
      </w:pPr>
      <w:r w:rsidRPr="00547EA0">
        <w:rPr>
          <w:b/>
          <w:color w:val="000000"/>
          <w:sz w:val="23"/>
          <w:szCs w:val="23"/>
          <w:shd w:val="clear" w:color="auto" w:fill="FFFFFF"/>
        </w:rPr>
        <w:lastRenderedPageBreak/>
        <w:t xml:space="preserve">                                                                    PART ONE</w:t>
      </w:r>
    </w:p>
    <w:p w14:paraId="618F7F08" w14:textId="59092D92" w:rsidR="006F7548" w:rsidRPr="00547EA0" w:rsidRDefault="006F7548" w:rsidP="006F7548">
      <w:pPr>
        <w:rPr>
          <w:b/>
          <w:color w:val="000000"/>
          <w:sz w:val="23"/>
          <w:szCs w:val="23"/>
          <w:shd w:val="clear" w:color="auto" w:fill="FFFFFF"/>
        </w:rPr>
      </w:pPr>
    </w:p>
    <w:p w14:paraId="502627CF" w14:textId="061A6BF8" w:rsidR="006F7548" w:rsidRPr="00547EA0" w:rsidRDefault="0092469A" w:rsidP="006F7548">
      <w:pPr>
        <w:jc w:val="center"/>
        <w:rPr>
          <w:b/>
          <w:color w:val="000000"/>
          <w:sz w:val="23"/>
          <w:szCs w:val="23"/>
          <w:shd w:val="clear" w:color="auto" w:fill="FFFFFF"/>
        </w:rPr>
      </w:pPr>
      <w:r w:rsidRPr="00547EA0">
        <w:rPr>
          <w:b/>
          <w:color w:val="000000"/>
          <w:sz w:val="23"/>
          <w:szCs w:val="23"/>
          <w:shd w:val="clear" w:color="auto" w:fill="FFFFFF"/>
        </w:rPr>
        <w:t>INTRODUCTION</w:t>
      </w:r>
    </w:p>
    <w:p w14:paraId="1A7237D5" w14:textId="1AC0DA36" w:rsidR="006F7548" w:rsidRPr="00547EA0" w:rsidRDefault="006F7548" w:rsidP="006F7548">
      <w:pPr>
        <w:rPr>
          <w:color w:val="000000"/>
          <w:sz w:val="23"/>
          <w:szCs w:val="23"/>
          <w:shd w:val="clear" w:color="auto" w:fill="FFFFFF"/>
        </w:rPr>
      </w:pPr>
      <w:r w:rsidRPr="00547EA0">
        <w:rPr>
          <w:color w:val="000000"/>
          <w:sz w:val="23"/>
          <w:szCs w:val="23"/>
          <w:shd w:val="clear" w:color="auto" w:fill="FFFFFF"/>
        </w:rPr>
        <w:t xml:space="preserve">1.1 </w:t>
      </w:r>
      <w:r w:rsidRPr="00547EA0">
        <w:rPr>
          <w:b/>
          <w:color w:val="000000"/>
          <w:sz w:val="23"/>
          <w:szCs w:val="23"/>
          <w:shd w:val="clear" w:color="auto" w:fill="FFFFFF"/>
        </w:rPr>
        <w:t>Background to the Study</w:t>
      </w:r>
    </w:p>
    <w:p w14:paraId="71317C21" w14:textId="77777777" w:rsidR="006F7548" w:rsidRPr="00547EA0" w:rsidRDefault="006F7548" w:rsidP="006F7548">
      <w:pPr>
        <w:pStyle w:val="ListParagraph"/>
        <w:ind w:left="-270"/>
        <w:rPr>
          <w:rFonts w:ascii="Times New Roman" w:eastAsia="Times New Roman" w:hAnsi="Times New Roman" w:cs="Times New Roman"/>
          <w:color w:val="000000"/>
          <w:sz w:val="23"/>
          <w:szCs w:val="23"/>
          <w:shd w:val="clear" w:color="auto" w:fill="FFFFFF"/>
        </w:rPr>
      </w:pPr>
    </w:p>
    <w:p w14:paraId="45CB1D84" w14:textId="2AE8A08D" w:rsidR="00FC1CE3" w:rsidRPr="00547EA0" w:rsidRDefault="00FC1CE3" w:rsidP="00852BE9">
      <w:pPr>
        <w:spacing w:line="480" w:lineRule="auto"/>
        <w:jc w:val="both"/>
      </w:pPr>
      <w:r w:rsidRPr="00547EA0">
        <w:t xml:space="preserve">The trust deed, colloquially known as debenture trust deed </w:t>
      </w:r>
      <w:proofErr w:type="spellStart"/>
      <w:r w:rsidRPr="00547EA0">
        <w:t>or</w:t>
      </w:r>
      <w:proofErr w:type="spellEnd"/>
      <w:r w:rsidRPr="00547EA0">
        <w:t xml:space="preserve"> trust indenture, has become widely known in legal and economic circles as an instrument used to protect the rights and claims of debenture holders of the debt securities issued by a borrowing company. Often times, a company needs to generate funds to finance its projects or expand its operations. In order to avoid approaching financial institutions, the corporation may choose to generate a substantial amount of money by directly requesting contributions from the general public. This is done by issuing debenture stock</w:t>
      </w:r>
      <w:r w:rsidR="00D032D7" w:rsidRPr="00547EA0">
        <w:rPr>
          <w:rStyle w:val="FootnoteReference"/>
        </w:rPr>
        <w:footnoteReference w:id="1"/>
      </w:r>
      <w:r w:rsidRPr="00547EA0">
        <w:t xml:space="preserve"> as a kind of </w:t>
      </w:r>
      <w:r w:rsidR="00D032D7" w:rsidRPr="00547EA0">
        <w:t>loan fund</w:t>
      </w:r>
      <w:r w:rsidRPr="00547EA0">
        <w:t xml:space="preserve">, thus making the investors </w:t>
      </w:r>
      <w:r w:rsidR="00D032D7" w:rsidRPr="00547EA0">
        <w:t xml:space="preserve">buy the securities of the company and </w:t>
      </w:r>
      <w:r w:rsidRPr="00547EA0">
        <w:t>assume the role of lenders or debt holders. Because of the dispersed composition of the investors, a trustee is appointed on behalf of the debenture holders and the company will only interact with an appointed trustee</w:t>
      </w:r>
      <w:r w:rsidR="003036D3" w:rsidRPr="00547EA0">
        <w:rPr>
          <w:rStyle w:val="FootnoteReference"/>
        </w:rPr>
        <w:footnoteReference w:id="2"/>
      </w:r>
      <w:r w:rsidR="003036D3" w:rsidRPr="00547EA0">
        <w:t>.</w:t>
      </w:r>
      <w:r w:rsidRPr="00547EA0">
        <w:t xml:space="preserve"> Consequently, the </w:t>
      </w:r>
      <w:r w:rsidR="00D40459" w:rsidRPr="00547EA0">
        <w:t xml:space="preserve">trustee executes the </w:t>
      </w:r>
      <w:r w:rsidRPr="00547EA0">
        <w:t>debenture</w:t>
      </w:r>
      <w:r w:rsidR="00D40459" w:rsidRPr="00547EA0">
        <w:t xml:space="preserve"> trust deed </w:t>
      </w:r>
      <w:r w:rsidR="009F1A43" w:rsidRPr="00547EA0">
        <w:t>with the company, which debenture holders rely on for protection of their</w:t>
      </w:r>
      <w:r w:rsidR="004B4E3C" w:rsidRPr="00547EA0">
        <w:t xml:space="preserve"> advanced </w:t>
      </w:r>
      <w:r w:rsidR="009D5F83" w:rsidRPr="00547EA0">
        <w:t xml:space="preserve">legal </w:t>
      </w:r>
      <w:r w:rsidR="004B4E3C" w:rsidRPr="00547EA0">
        <w:t>capital.</w:t>
      </w:r>
      <w:r w:rsidR="009F1A43" w:rsidRPr="00547EA0">
        <w:rPr>
          <w:rStyle w:val="FootnoteReference"/>
        </w:rPr>
        <w:footnoteReference w:id="3"/>
      </w:r>
    </w:p>
    <w:p w14:paraId="1C381B36" w14:textId="77777777" w:rsidR="00FC1CE3" w:rsidRPr="00547EA0" w:rsidRDefault="00FC1CE3" w:rsidP="00852BE9">
      <w:pPr>
        <w:spacing w:line="480" w:lineRule="auto"/>
        <w:jc w:val="both"/>
      </w:pPr>
    </w:p>
    <w:p w14:paraId="2F789A52" w14:textId="3EB7B64C" w:rsidR="00FC1CE3" w:rsidRPr="00547EA0" w:rsidRDefault="0029245E" w:rsidP="00852BE9">
      <w:pPr>
        <w:autoSpaceDE w:val="0"/>
        <w:autoSpaceDN w:val="0"/>
        <w:adjustRightInd w:val="0"/>
        <w:spacing w:line="480" w:lineRule="auto"/>
        <w:jc w:val="both"/>
      </w:pPr>
      <w:r w:rsidRPr="00547EA0">
        <w:t xml:space="preserve">Debenture holders have extensively used the contractual provisions in the trust deed </w:t>
      </w:r>
      <w:r w:rsidR="00A879B1" w:rsidRPr="00547EA0">
        <w:t>as a protective shield in major conflicts with stockholders in leveraged buyouts</w:t>
      </w:r>
      <w:r w:rsidR="00A879B1" w:rsidRPr="00547EA0">
        <w:rPr>
          <w:rStyle w:val="FootnoteReference"/>
        </w:rPr>
        <w:footnoteReference w:id="4"/>
      </w:r>
      <w:r w:rsidR="00A879B1" w:rsidRPr="00547EA0">
        <w:t xml:space="preserve">, </w:t>
      </w:r>
      <w:r w:rsidR="00F154A8" w:rsidRPr="00547EA0">
        <w:t xml:space="preserve">bond defaults by corporate </w:t>
      </w:r>
      <w:r w:rsidR="00F154A8" w:rsidRPr="00547EA0">
        <w:lastRenderedPageBreak/>
        <w:t xml:space="preserve">issuers in </w:t>
      </w:r>
      <w:r w:rsidR="00A879B1" w:rsidRPr="00547EA0">
        <w:t>bankruptcies</w:t>
      </w:r>
      <w:r w:rsidR="00E971FD" w:rsidRPr="00547EA0">
        <w:rPr>
          <w:rStyle w:val="FootnoteReference"/>
        </w:rPr>
        <w:footnoteReference w:id="5"/>
      </w:r>
      <w:r w:rsidR="00C17010" w:rsidRPr="00547EA0">
        <w:t xml:space="preserve">, and </w:t>
      </w:r>
      <w:r w:rsidR="002432E5" w:rsidRPr="00547EA0">
        <w:t xml:space="preserve">defaults on junk bonds which </w:t>
      </w:r>
      <w:r w:rsidR="00531E11" w:rsidRPr="00547EA0">
        <w:t>are</w:t>
      </w:r>
      <w:r w:rsidR="002432E5" w:rsidRPr="00547EA0">
        <w:t xml:space="preserve"> mostly </w:t>
      </w:r>
      <w:r w:rsidR="00A879B1" w:rsidRPr="00547EA0">
        <w:t>public</w:t>
      </w:r>
      <w:r w:rsidR="002432E5" w:rsidRPr="00547EA0">
        <w:t>ly-issued</w:t>
      </w:r>
      <w:r w:rsidR="00A879B1" w:rsidRPr="00547EA0">
        <w:t xml:space="preserve"> bond</w:t>
      </w:r>
      <w:r w:rsidR="002432E5" w:rsidRPr="00547EA0">
        <w:t>s</w:t>
      </w:r>
      <w:r w:rsidR="002432E5" w:rsidRPr="00547EA0">
        <w:rPr>
          <w:rStyle w:val="FootnoteReference"/>
        </w:rPr>
        <w:footnoteReference w:id="6"/>
      </w:r>
      <w:r w:rsidR="002432E5" w:rsidRPr="00547EA0">
        <w:t>.</w:t>
      </w:r>
      <w:r w:rsidR="00A879B1" w:rsidRPr="00547EA0">
        <w:t xml:space="preserve"> </w:t>
      </w:r>
      <w:r w:rsidR="00F05AF7" w:rsidRPr="00547EA0">
        <w:t>Furthermore,</w:t>
      </w:r>
      <w:r w:rsidR="00FC1CE3" w:rsidRPr="00547EA0">
        <w:t xml:space="preserve"> the trust deed </w:t>
      </w:r>
      <w:r w:rsidR="00F05AF7" w:rsidRPr="00547EA0">
        <w:t xml:space="preserve">is </w:t>
      </w:r>
      <w:r w:rsidR="00FC1CE3" w:rsidRPr="00547EA0">
        <w:t xml:space="preserve">an important component of debt governance, </w:t>
      </w:r>
      <w:r w:rsidR="00EC3930" w:rsidRPr="00547EA0">
        <w:t>and</w:t>
      </w:r>
      <w:r w:rsidR="00FC1CE3" w:rsidRPr="00547EA0">
        <w:t xml:space="preserve"> is increasingly recognized as playing a critical role in the larger realm of </w:t>
      </w:r>
      <w:r w:rsidR="00531E11" w:rsidRPr="00547EA0">
        <w:t>corporate</w:t>
      </w:r>
      <w:r w:rsidR="00FC1CE3" w:rsidRPr="00547EA0">
        <w:t xml:space="preserve"> governance</w:t>
      </w:r>
      <w:r w:rsidR="00531E11" w:rsidRPr="00547EA0">
        <w:t>.</w:t>
      </w:r>
      <w:r w:rsidR="00531E11" w:rsidRPr="00547EA0">
        <w:rPr>
          <w:rStyle w:val="FootnoteReference"/>
        </w:rPr>
        <w:footnoteReference w:id="7"/>
      </w:r>
      <w:r w:rsidR="00531E11" w:rsidRPr="00547EA0">
        <w:t xml:space="preserve"> </w:t>
      </w:r>
      <w:r w:rsidR="00FC1CE3" w:rsidRPr="00547EA0">
        <w:t xml:space="preserve">Yet, despite the general enthusiasm with which </w:t>
      </w:r>
      <w:r w:rsidR="002B4F21" w:rsidRPr="00547EA0">
        <w:t>the trust deed</w:t>
      </w:r>
      <w:r w:rsidR="00FC1CE3" w:rsidRPr="00547EA0">
        <w:t xml:space="preserve"> </w:t>
      </w:r>
      <w:r w:rsidR="002B4F21" w:rsidRPr="00547EA0">
        <w:t>is regarded by private lenders and</w:t>
      </w:r>
      <w:r w:rsidR="00FC1CE3" w:rsidRPr="00547EA0">
        <w:t xml:space="preserve"> </w:t>
      </w:r>
      <w:r w:rsidR="002B4F21" w:rsidRPr="00547EA0">
        <w:t>debenture holders alike</w:t>
      </w:r>
      <w:r w:rsidR="00FC1CE3" w:rsidRPr="00547EA0">
        <w:t xml:space="preserve">, </w:t>
      </w:r>
      <w:r w:rsidR="002B4F21" w:rsidRPr="00547EA0">
        <w:t>the trust instrument is</w:t>
      </w:r>
      <w:r w:rsidR="00FC1CE3" w:rsidRPr="00547EA0">
        <w:t xml:space="preserve"> by no means a “magic bullet” for </w:t>
      </w:r>
      <w:r w:rsidR="00531E11" w:rsidRPr="00547EA0">
        <w:t>creditor protection</w:t>
      </w:r>
      <w:r w:rsidR="00FC1CE3" w:rsidRPr="00547EA0">
        <w:t xml:space="preserve">.  A key challenge resides in </w:t>
      </w:r>
      <w:r w:rsidR="00973165" w:rsidRPr="00547EA0">
        <w:t>the perennial conflict of interest between debenture holders and stock</w:t>
      </w:r>
      <w:r w:rsidR="00EB5849" w:rsidRPr="00547EA0">
        <w:t xml:space="preserve">holders </w:t>
      </w:r>
      <w:r w:rsidR="00973165" w:rsidRPr="00547EA0">
        <w:t>of a company and the question of whether co</w:t>
      </w:r>
      <w:r w:rsidR="00A82553" w:rsidRPr="00547EA0">
        <w:t>rporate</w:t>
      </w:r>
      <w:r w:rsidR="00973165" w:rsidRPr="00547EA0">
        <w:t xml:space="preserve"> </w:t>
      </w:r>
      <w:r w:rsidR="00C60E80" w:rsidRPr="00547EA0">
        <w:t xml:space="preserve">managers </w:t>
      </w:r>
      <w:r w:rsidR="00973165" w:rsidRPr="00547EA0">
        <w:t xml:space="preserve">owe a fiduciary duty to debenture holders beyond the express terms of their debt </w:t>
      </w:r>
      <w:r w:rsidR="00674967" w:rsidRPr="00547EA0">
        <w:t>trust deed</w:t>
      </w:r>
      <w:r w:rsidR="00973165" w:rsidRPr="00547EA0">
        <w:t>s</w:t>
      </w:r>
      <w:r w:rsidR="002B4F21" w:rsidRPr="00547EA0">
        <w:t>.</w:t>
      </w:r>
      <w:r w:rsidR="00FC1CE3" w:rsidRPr="00547EA0">
        <w:t xml:space="preserve"> In particular, recent studies have demonstrated how </w:t>
      </w:r>
      <w:r w:rsidR="00C4781F" w:rsidRPr="00547EA0">
        <w:t>the emergence of event risk transactions have altered the hitherto advantageous positions of debenture holders</w:t>
      </w:r>
      <w:r w:rsidR="006C1FC2" w:rsidRPr="00547EA0">
        <w:t>, which has</w:t>
      </w:r>
      <w:r w:rsidR="00C4781F" w:rsidRPr="00547EA0">
        <w:t xml:space="preserve"> </w:t>
      </w:r>
      <w:r w:rsidR="0063169D" w:rsidRPr="00547EA0">
        <w:t>adverse</w:t>
      </w:r>
      <w:r w:rsidR="00C4781F" w:rsidRPr="00547EA0">
        <w:t xml:space="preserve"> implications for debt governance and credit risk.</w:t>
      </w:r>
      <w:r w:rsidR="00E81FFE" w:rsidRPr="00547EA0">
        <w:rPr>
          <w:rStyle w:val="FootnoteReference"/>
        </w:rPr>
        <w:footnoteReference w:id="8"/>
      </w:r>
      <w:r w:rsidR="00D7204B" w:rsidRPr="00547EA0">
        <w:t xml:space="preserve"> This</w:t>
      </w:r>
      <w:r w:rsidR="00FC1CE3" w:rsidRPr="00547EA0">
        <w:t xml:space="preserve"> paper </w:t>
      </w:r>
      <w:r w:rsidR="00132AF3" w:rsidRPr="00547EA0">
        <w:t>argues that while trust deeds are essential for enforcing debt obligations, their practical implications often depend on the clarity of their terms and effectiveness of the enforcement mechanisms available within the legal framework</w:t>
      </w:r>
      <w:r w:rsidR="00FC1CE3" w:rsidRPr="00547EA0">
        <w:t xml:space="preserve">. </w:t>
      </w:r>
      <w:r w:rsidR="0063169D" w:rsidRPr="00547EA0">
        <w:t xml:space="preserve">This study </w:t>
      </w:r>
      <w:r w:rsidR="00FC1CE3" w:rsidRPr="00547EA0">
        <w:t xml:space="preserve">will specifically </w:t>
      </w:r>
      <w:r w:rsidR="00132AF3" w:rsidRPr="00547EA0">
        <w:t xml:space="preserve">draw examples from various jurisdictions, including Nigeria, and </w:t>
      </w:r>
      <w:r w:rsidR="00FC1CE3" w:rsidRPr="00547EA0">
        <w:t xml:space="preserve">focus on the responsibilities of the trustees, and </w:t>
      </w:r>
      <w:r w:rsidR="0063169D" w:rsidRPr="00547EA0">
        <w:t>the utility of a trust deed to protect</w:t>
      </w:r>
      <w:r w:rsidR="00FC1CE3" w:rsidRPr="00547EA0">
        <w:t xml:space="preserve"> debenture holders' rights. Failure to adequately address these aspects can have severe consequences, including loss of confidence in the nation's debt capital market and detrimental effects on debenture holders.</w:t>
      </w:r>
      <w:r w:rsidR="00E81FFE" w:rsidRPr="00547EA0">
        <w:t xml:space="preserve"> The first part of this paper for </w:t>
      </w:r>
      <w:r w:rsidR="00E81FFE" w:rsidRPr="00547EA0">
        <w:lastRenderedPageBreak/>
        <w:t xml:space="preserve">the purpose of subsequent analysis, will briefly explore the background of the trust deed. The second part of the paper offers </w:t>
      </w:r>
      <w:r w:rsidR="001979D9" w:rsidRPr="00547EA0">
        <w:t xml:space="preserve">a </w:t>
      </w:r>
      <w:r w:rsidR="00E528D4" w:rsidRPr="00547EA0">
        <w:t xml:space="preserve">brief overview </w:t>
      </w:r>
      <w:r w:rsidR="00364515" w:rsidRPr="00547EA0">
        <w:t>of</w:t>
      </w:r>
      <w:r w:rsidR="00E81FFE" w:rsidRPr="00547EA0">
        <w:t xml:space="preserve"> the trust deed. The third part examines the implications of the trust deed on debt governance. A c</w:t>
      </w:r>
      <w:r w:rsidR="00DF4678" w:rsidRPr="00547EA0">
        <w:t>omparative analysis</w:t>
      </w:r>
      <w:r w:rsidR="00E81FFE" w:rsidRPr="00547EA0">
        <w:t xml:space="preserve"> of the trust deed </w:t>
      </w:r>
      <w:r w:rsidR="001979D9" w:rsidRPr="00547EA0">
        <w:t xml:space="preserve">in Nigeria </w:t>
      </w:r>
      <w:r w:rsidR="00DF4678" w:rsidRPr="00547EA0">
        <w:t xml:space="preserve">with what obtains in the United States and the United Kingdom </w:t>
      </w:r>
      <w:r w:rsidR="00E81FFE" w:rsidRPr="00547EA0">
        <w:t>will be examined in part four. Part five concludes by giving recommendations for reform.</w:t>
      </w:r>
    </w:p>
    <w:p w14:paraId="3C7689BF" w14:textId="5BCA5EEA" w:rsidR="00016977" w:rsidRPr="00547EA0" w:rsidRDefault="00016977" w:rsidP="00FC1CE3">
      <w:pPr>
        <w:spacing w:line="360" w:lineRule="auto"/>
        <w:jc w:val="both"/>
      </w:pPr>
    </w:p>
    <w:p w14:paraId="677A517A" w14:textId="77777777" w:rsidR="004A1882" w:rsidRPr="00547EA0" w:rsidRDefault="004A1882" w:rsidP="004A1882"/>
    <w:p w14:paraId="5C9FBF64" w14:textId="777E35A4" w:rsidR="00BC6063" w:rsidRPr="00547EA0" w:rsidRDefault="00BC6063" w:rsidP="00BC6063"/>
    <w:p w14:paraId="77394650" w14:textId="6B03E487" w:rsidR="00E27D10" w:rsidRPr="00547EA0" w:rsidRDefault="00E27D10" w:rsidP="00E27D10">
      <w:pPr>
        <w:rPr>
          <w:b/>
        </w:rPr>
      </w:pPr>
      <w:r w:rsidRPr="00547EA0">
        <w:rPr>
          <w:rFonts w:ascii="Tahoma" w:hAnsi="Tahoma" w:cs="Tahoma"/>
        </w:rPr>
        <w:t>﻿</w:t>
      </w:r>
      <w:r w:rsidRPr="00547EA0">
        <w:rPr>
          <w:b/>
        </w:rPr>
        <w:t xml:space="preserve">1.2 </w:t>
      </w:r>
      <w:r w:rsidR="00C34E67" w:rsidRPr="00547EA0">
        <w:rPr>
          <w:b/>
        </w:rPr>
        <w:t xml:space="preserve">      </w:t>
      </w:r>
      <w:r w:rsidRPr="00547EA0">
        <w:rPr>
          <w:b/>
        </w:rPr>
        <w:t>Research Objectives</w:t>
      </w:r>
    </w:p>
    <w:p w14:paraId="3AA883AC" w14:textId="3E50996A" w:rsidR="00E27D10" w:rsidRPr="00547EA0" w:rsidRDefault="00E27D10" w:rsidP="00852BE9">
      <w:pPr>
        <w:spacing w:line="480" w:lineRule="auto"/>
      </w:pPr>
      <w:r w:rsidRPr="00547EA0">
        <w:t xml:space="preserve">The aims and objectives of this seminar paper are: </w:t>
      </w:r>
    </w:p>
    <w:p w14:paraId="6466652C" w14:textId="74E1A416" w:rsidR="00E27D10" w:rsidRPr="00547EA0" w:rsidRDefault="00E27D10" w:rsidP="00852BE9">
      <w:pPr>
        <w:spacing w:line="480" w:lineRule="auto"/>
      </w:pPr>
      <w:r w:rsidRPr="00547EA0">
        <w:t xml:space="preserve">1. Examining the relevance and justification of </w:t>
      </w:r>
      <w:r w:rsidR="00DC3E5A" w:rsidRPr="00547EA0">
        <w:t>utilization</w:t>
      </w:r>
      <w:r w:rsidRPr="00547EA0">
        <w:t xml:space="preserve"> of </w:t>
      </w:r>
      <w:r w:rsidR="00DC3E5A" w:rsidRPr="00547EA0">
        <w:t>trust deeds</w:t>
      </w:r>
      <w:r w:rsidRPr="00547EA0">
        <w:t xml:space="preserve"> in </w:t>
      </w:r>
      <w:r w:rsidR="00DC3E5A" w:rsidRPr="00547EA0">
        <w:t>corporate lending</w:t>
      </w:r>
      <w:r w:rsidRPr="00547EA0">
        <w:t xml:space="preserve">; </w:t>
      </w:r>
    </w:p>
    <w:p w14:paraId="6B4B57B5" w14:textId="51409A73" w:rsidR="00E27D10" w:rsidRPr="00547EA0" w:rsidRDefault="00E27D10" w:rsidP="00852BE9">
      <w:pPr>
        <w:spacing w:line="480" w:lineRule="auto"/>
      </w:pPr>
      <w:r w:rsidRPr="00547EA0">
        <w:t xml:space="preserve">2. Examining the relationship between </w:t>
      </w:r>
      <w:r w:rsidR="00E60F91" w:rsidRPr="00547EA0">
        <w:t>contractual covenants</w:t>
      </w:r>
      <w:r w:rsidRPr="00547EA0">
        <w:t xml:space="preserve"> and </w:t>
      </w:r>
      <w:r w:rsidR="00E60F91" w:rsidRPr="00547EA0">
        <w:t>legal frameworks</w:t>
      </w:r>
      <w:r w:rsidRPr="00547EA0">
        <w:t xml:space="preserve"> and considering the</w:t>
      </w:r>
      <w:r w:rsidR="00E60F91" w:rsidRPr="00547EA0">
        <w:t>ir role in mitigating credit risk under a trust deed</w:t>
      </w:r>
      <w:r w:rsidRPr="00547EA0">
        <w:t>;</w:t>
      </w:r>
    </w:p>
    <w:p w14:paraId="3034C39E" w14:textId="099A1296" w:rsidR="00E27D10" w:rsidRPr="00547EA0" w:rsidRDefault="00E27D10" w:rsidP="00852BE9">
      <w:pPr>
        <w:spacing w:line="480" w:lineRule="auto"/>
      </w:pPr>
      <w:r w:rsidRPr="00547EA0">
        <w:t xml:space="preserve">3. Examining the existing legal provisions on </w:t>
      </w:r>
      <w:r w:rsidR="00CF4DD7" w:rsidRPr="00547EA0">
        <w:t>trust deeds</w:t>
      </w:r>
      <w:r w:rsidRPr="00547EA0">
        <w:t xml:space="preserve"> and the legal risks and challenges attendant to </w:t>
      </w:r>
      <w:r w:rsidR="00CF4DD7" w:rsidRPr="00547EA0">
        <w:t>protecting creditors under</w:t>
      </w:r>
      <w:r w:rsidRPr="00547EA0">
        <w:t xml:space="preserve"> existing law;</w:t>
      </w:r>
    </w:p>
    <w:p w14:paraId="734162A8" w14:textId="2B72CA61" w:rsidR="00E27D10" w:rsidRPr="00547EA0" w:rsidRDefault="00364515" w:rsidP="00852BE9">
      <w:pPr>
        <w:spacing w:line="480" w:lineRule="auto"/>
      </w:pPr>
      <w:r w:rsidRPr="00547EA0">
        <w:t>4</w:t>
      </w:r>
      <w:r w:rsidR="00E27D10" w:rsidRPr="00547EA0">
        <w:t xml:space="preserve">. Proposing reform of the existing legal frameworks for </w:t>
      </w:r>
      <w:r w:rsidRPr="00547EA0">
        <w:t>the trust deed</w:t>
      </w:r>
      <w:r w:rsidR="00E27D10" w:rsidRPr="00547EA0">
        <w:t xml:space="preserve"> in Nigeria.</w:t>
      </w:r>
    </w:p>
    <w:p w14:paraId="4FBF17C8" w14:textId="0F630822" w:rsidR="00BC6063" w:rsidRPr="00547EA0" w:rsidRDefault="00BC6063" w:rsidP="00852BE9">
      <w:pPr>
        <w:spacing w:line="480" w:lineRule="auto"/>
      </w:pPr>
    </w:p>
    <w:p w14:paraId="3CC80EA0" w14:textId="11619E5E" w:rsidR="00C34E67" w:rsidRPr="00547EA0" w:rsidRDefault="00C34E67" w:rsidP="00852BE9">
      <w:pPr>
        <w:spacing w:line="480" w:lineRule="auto"/>
      </w:pPr>
      <w:r w:rsidRPr="00547EA0">
        <w:rPr>
          <w:rFonts w:ascii="Tahoma" w:hAnsi="Tahoma" w:cs="Tahoma"/>
        </w:rPr>
        <w:t>﻿</w:t>
      </w:r>
      <w:r w:rsidRPr="00547EA0">
        <w:rPr>
          <w:b/>
        </w:rPr>
        <w:t>1.3</w:t>
      </w:r>
      <w:r w:rsidRPr="00547EA0">
        <w:t xml:space="preserve">           </w:t>
      </w:r>
      <w:r w:rsidRPr="00547EA0">
        <w:rPr>
          <w:b/>
        </w:rPr>
        <w:t>Research Questions</w:t>
      </w:r>
    </w:p>
    <w:p w14:paraId="59929CA8" w14:textId="77777777" w:rsidR="00C34E67" w:rsidRPr="00547EA0" w:rsidRDefault="00C34E67" w:rsidP="00852BE9">
      <w:pPr>
        <w:spacing w:line="480" w:lineRule="auto"/>
      </w:pPr>
      <w:r w:rsidRPr="00547EA0">
        <w:t xml:space="preserve">The main research questions that this paper seeks to answer are as follows: </w:t>
      </w:r>
    </w:p>
    <w:p w14:paraId="13449A03" w14:textId="77777777" w:rsidR="00C34E67" w:rsidRPr="00547EA0" w:rsidRDefault="00C34E67" w:rsidP="00852BE9">
      <w:pPr>
        <w:spacing w:line="480" w:lineRule="auto"/>
      </w:pPr>
    </w:p>
    <w:p w14:paraId="47B4D352" w14:textId="293E7320" w:rsidR="005D1B09" w:rsidRPr="00547EA0" w:rsidRDefault="00C34E67" w:rsidP="00852BE9">
      <w:pPr>
        <w:spacing w:line="480" w:lineRule="auto"/>
      </w:pPr>
      <w:r w:rsidRPr="00547EA0">
        <w:t xml:space="preserve">1. </w:t>
      </w:r>
      <w:r w:rsidR="00F67385" w:rsidRPr="00547EA0">
        <w:t>How do trust deeds function in the context of corporate debt governance</w:t>
      </w:r>
      <w:r w:rsidR="005D1B09" w:rsidRPr="00547EA0">
        <w:t>?</w:t>
      </w:r>
    </w:p>
    <w:p w14:paraId="37EA1865" w14:textId="77777777" w:rsidR="005D1B09" w:rsidRPr="00547EA0" w:rsidRDefault="005D1B09" w:rsidP="00852BE9">
      <w:pPr>
        <w:spacing w:line="480" w:lineRule="auto"/>
      </w:pPr>
    </w:p>
    <w:p w14:paraId="7F1BD018" w14:textId="02E8C235" w:rsidR="005D1B09" w:rsidRPr="00547EA0" w:rsidRDefault="00F67385" w:rsidP="00852BE9">
      <w:pPr>
        <w:spacing w:line="480" w:lineRule="auto"/>
        <w:ind w:left="270" w:hanging="270"/>
      </w:pPr>
      <w:r w:rsidRPr="00547EA0">
        <w:t>2</w:t>
      </w:r>
      <w:r w:rsidR="005D1B09" w:rsidRPr="00547EA0">
        <w:t xml:space="preserve">. What </w:t>
      </w:r>
      <w:r w:rsidRPr="00547EA0">
        <w:t xml:space="preserve">is the legal framework governing trust deeds in Nigeria, and </w:t>
      </w:r>
      <w:r w:rsidR="0021318F" w:rsidRPr="00547EA0">
        <w:t xml:space="preserve">how </w:t>
      </w:r>
      <w:r w:rsidRPr="00547EA0">
        <w:t xml:space="preserve">does it compare to international standards? </w:t>
      </w:r>
      <w:r w:rsidR="005D1B09" w:rsidRPr="00547EA0">
        <w:t xml:space="preserve"> </w:t>
      </w:r>
    </w:p>
    <w:p w14:paraId="488A2775" w14:textId="77777777" w:rsidR="00F67385" w:rsidRPr="00547EA0" w:rsidRDefault="00F67385" w:rsidP="00852BE9">
      <w:pPr>
        <w:spacing w:line="480" w:lineRule="auto"/>
      </w:pPr>
    </w:p>
    <w:p w14:paraId="760BE05A" w14:textId="5C42250D" w:rsidR="00F67385" w:rsidRPr="00547EA0" w:rsidRDefault="00F67385" w:rsidP="00852BE9">
      <w:pPr>
        <w:spacing w:line="480" w:lineRule="auto"/>
        <w:ind w:left="270" w:hanging="270"/>
      </w:pPr>
      <w:r w:rsidRPr="00547EA0">
        <w:t>3. What are the implications of trust deeds on creditor protection and debtor obligations?</w:t>
      </w:r>
    </w:p>
    <w:p w14:paraId="7391BE01" w14:textId="77777777" w:rsidR="00F67385" w:rsidRPr="00547EA0" w:rsidRDefault="00F67385" w:rsidP="00852BE9">
      <w:pPr>
        <w:spacing w:line="480" w:lineRule="auto"/>
      </w:pPr>
    </w:p>
    <w:p w14:paraId="2DF27D6A" w14:textId="7CFF2AEA" w:rsidR="00BC6063" w:rsidRPr="00547EA0" w:rsidRDefault="00F67385" w:rsidP="00852BE9">
      <w:pPr>
        <w:spacing w:line="480" w:lineRule="auto"/>
        <w:ind w:left="270" w:hanging="270"/>
      </w:pPr>
      <w:r w:rsidRPr="00547EA0">
        <w:t>4</w:t>
      </w:r>
      <w:r w:rsidR="005D1B09" w:rsidRPr="00547EA0">
        <w:t xml:space="preserve">. </w:t>
      </w:r>
      <w:r w:rsidRPr="00547EA0">
        <w:rPr>
          <w:color w:val="000000"/>
          <w:shd w:val="clear" w:color="auto" w:fill="FFFFFF"/>
        </w:rPr>
        <w:t>What reforms, if any, are necessary to improve the effectiveness of trust deeds in Nigerian debt governance</w:t>
      </w:r>
      <w:r w:rsidR="005D1B09" w:rsidRPr="00547EA0">
        <w:t>?</w:t>
      </w:r>
    </w:p>
    <w:p w14:paraId="23AE1C16" w14:textId="69783176" w:rsidR="005D1B09" w:rsidRPr="00547EA0" w:rsidRDefault="005D1B09" w:rsidP="00852BE9">
      <w:pPr>
        <w:spacing w:line="480" w:lineRule="auto"/>
      </w:pPr>
    </w:p>
    <w:p w14:paraId="430E61EB" w14:textId="77777777" w:rsidR="005D1B09" w:rsidRPr="00547EA0" w:rsidRDefault="005D1B09" w:rsidP="00852BE9">
      <w:pPr>
        <w:spacing w:line="480" w:lineRule="auto"/>
      </w:pPr>
    </w:p>
    <w:p w14:paraId="13F4A675" w14:textId="0ABCA559" w:rsidR="00BC6063" w:rsidRPr="00547EA0" w:rsidRDefault="00E27D10" w:rsidP="00852BE9">
      <w:pPr>
        <w:spacing w:line="480" w:lineRule="auto"/>
      </w:pPr>
      <w:r w:rsidRPr="00547EA0">
        <w:rPr>
          <w:b/>
        </w:rPr>
        <w:t>1.4</w:t>
      </w:r>
      <w:r w:rsidRPr="00547EA0">
        <w:t xml:space="preserve">       </w:t>
      </w:r>
      <w:r w:rsidRPr="00547EA0">
        <w:rPr>
          <w:b/>
        </w:rPr>
        <w:t>Operational Definition of Terms</w:t>
      </w:r>
    </w:p>
    <w:p w14:paraId="232FE2FB" w14:textId="77777777" w:rsidR="00E27D10" w:rsidRPr="00547EA0" w:rsidRDefault="00BC6063" w:rsidP="00852BE9">
      <w:pPr>
        <w:spacing w:line="480" w:lineRule="auto"/>
      </w:pPr>
      <w:r w:rsidRPr="00547EA0">
        <w:rPr>
          <w:rFonts w:ascii="Tahoma" w:hAnsi="Tahoma" w:cs="Tahoma"/>
        </w:rPr>
        <w:t>﻿</w:t>
      </w:r>
      <w:r w:rsidR="00E27D10" w:rsidRPr="00547EA0">
        <w:t xml:space="preserve"> </w:t>
      </w:r>
    </w:p>
    <w:p w14:paraId="1F7B3B30" w14:textId="022010C4" w:rsidR="00E27D10" w:rsidRPr="00547EA0" w:rsidRDefault="00E27D10" w:rsidP="00852BE9">
      <w:pPr>
        <w:spacing w:line="480" w:lineRule="auto"/>
      </w:pPr>
      <w:r w:rsidRPr="00547EA0">
        <w:rPr>
          <w:rFonts w:ascii="Tahoma" w:hAnsi="Tahoma" w:cs="Tahoma"/>
        </w:rPr>
        <w:t>﻿</w:t>
      </w:r>
      <w:r w:rsidRPr="00547EA0">
        <w:t>The following important terms in the title of the study bear the following meaning in the context of this work:</w:t>
      </w:r>
    </w:p>
    <w:p w14:paraId="412E0A56" w14:textId="77777777" w:rsidR="00E27D10" w:rsidRPr="00547EA0" w:rsidRDefault="00E27D10" w:rsidP="00852BE9">
      <w:pPr>
        <w:spacing w:line="480" w:lineRule="auto"/>
      </w:pPr>
      <w:r w:rsidRPr="00547EA0">
        <w:rPr>
          <w:rFonts w:ascii="Tahoma" w:hAnsi="Tahoma" w:cs="Tahoma"/>
        </w:rPr>
        <w:t>﻿</w:t>
      </w:r>
    </w:p>
    <w:p w14:paraId="12F64264" w14:textId="7A7EA16A" w:rsidR="00016977" w:rsidRPr="00547EA0" w:rsidRDefault="00C34E67" w:rsidP="00852BE9">
      <w:pPr>
        <w:spacing w:line="480" w:lineRule="auto"/>
      </w:pPr>
      <w:r w:rsidRPr="00547EA0">
        <w:rPr>
          <w:b/>
        </w:rPr>
        <w:t>Debenture</w:t>
      </w:r>
      <w:r w:rsidR="00E27D10" w:rsidRPr="00547EA0">
        <w:t xml:space="preserve">- This </w:t>
      </w:r>
      <w:r w:rsidR="00207BD6" w:rsidRPr="00547EA0">
        <w:t xml:space="preserve">is a legal instrument issued to lenders by borrowers to acknowledge their indebtedness.  </w:t>
      </w:r>
    </w:p>
    <w:p w14:paraId="7F791ED1" w14:textId="4E5F6EDA" w:rsidR="00016977" w:rsidRPr="00547EA0" w:rsidRDefault="001E1A59" w:rsidP="00852BE9">
      <w:pPr>
        <w:spacing w:line="480" w:lineRule="auto"/>
      </w:pPr>
      <w:r w:rsidRPr="00547EA0">
        <w:rPr>
          <w:b/>
        </w:rPr>
        <w:t>Covenants</w:t>
      </w:r>
      <w:r w:rsidR="00016977" w:rsidRPr="00547EA0">
        <w:t xml:space="preserve"> </w:t>
      </w:r>
      <w:r w:rsidR="00207BD6" w:rsidRPr="00547EA0">
        <w:t>– Th</w:t>
      </w:r>
      <w:r w:rsidR="00F150D8" w:rsidRPr="00547EA0">
        <w:t>e</w:t>
      </w:r>
      <w:r w:rsidR="00207BD6" w:rsidRPr="00547EA0">
        <w:t>s</w:t>
      </w:r>
      <w:r w:rsidR="00F150D8" w:rsidRPr="00547EA0">
        <w:t>e</w:t>
      </w:r>
      <w:r w:rsidR="00207BD6" w:rsidRPr="00547EA0">
        <w:t xml:space="preserve"> a</w:t>
      </w:r>
      <w:r w:rsidR="00F150D8" w:rsidRPr="00547EA0">
        <w:t>re</w:t>
      </w:r>
      <w:r w:rsidR="00207BD6" w:rsidRPr="00547EA0">
        <w:t xml:space="preserve"> </w:t>
      </w:r>
      <w:r w:rsidR="00F150D8" w:rsidRPr="00547EA0">
        <w:t xml:space="preserve">binding </w:t>
      </w:r>
      <w:r w:rsidR="00207BD6" w:rsidRPr="00547EA0">
        <w:t>term</w:t>
      </w:r>
      <w:r w:rsidR="00F150D8" w:rsidRPr="00547EA0">
        <w:t>s</w:t>
      </w:r>
      <w:r w:rsidR="00207BD6" w:rsidRPr="00547EA0">
        <w:t xml:space="preserve"> or stipulation</w:t>
      </w:r>
      <w:r w:rsidR="00F150D8" w:rsidRPr="00547EA0">
        <w:t>s</w:t>
      </w:r>
      <w:r w:rsidR="00207BD6" w:rsidRPr="00547EA0">
        <w:t xml:space="preserve"> usually </w:t>
      </w:r>
      <w:r w:rsidR="00F150D8" w:rsidRPr="00547EA0">
        <w:t>present in contracts or agreements between two contracting entities.</w:t>
      </w:r>
    </w:p>
    <w:p w14:paraId="2815E778" w14:textId="77777777" w:rsidR="00E27D10" w:rsidRPr="00547EA0" w:rsidRDefault="00E27D10" w:rsidP="00852BE9">
      <w:pPr>
        <w:spacing w:line="480" w:lineRule="auto"/>
      </w:pPr>
    </w:p>
    <w:p w14:paraId="04E8E84E" w14:textId="77777777" w:rsidR="00E27D10" w:rsidRPr="00547EA0" w:rsidRDefault="00E27D10" w:rsidP="00852BE9">
      <w:pPr>
        <w:spacing w:line="480" w:lineRule="auto"/>
      </w:pPr>
    </w:p>
    <w:p w14:paraId="29F694E4" w14:textId="0A992F76" w:rsidR="00E27D10" w:rsidRPr="00547EA0" w:rsidRDefault="00E27D10" w:rsidP="00852BE9">
      <w:pPr>
        <w:spacing w:line="480" w:lineRule="auto"/>
      </w:pPr>
      <w:r w:rsidRPr="00547EA0">
        <w:rPr>
          <w:rFonts w:ascii="Tahoma" w:hAnsi="Tahoma" w:cs="Tahoma"/>
        </w:rPr>
        <w:t>﻿</w:t>
      </w:r>
      <w:r w:rsidR="00016977" w:rsidRPr="00547EA0">
        <w:rPr>
          <w:b/>
        </w:rPr>
        <w:t xml:space="preserve">Trust Deed </w:t>
      </w:r>
      <w:r w:rsidRPr="00547EA0">
        <w:t>- This is the company or entity that initiates and engages in asset securitization transaction.</w:t>
      </w:r>
    </w:p>
    <w:p w14:paraId="31BE8AEC" w14:textId="75E45D64" w:rsidR="004146FB" w:rsidRPr="00547EA0" w:rsidRDefault="004146FB" w:rsidP="00852BE9">
      <w:pPr>
        <w:spacing w:line="480" w:lineRule="auto"/>
      </w:pPr>
    </w:p>
    <w:p w14:paraId="27F480CB" w14:textId="576D271D" w:rsidR="004146FB" w:rsidRPr="00547EA0" w:rsidRDefault="001E1A59" w:rsidP="00852BE9">
      <w:pPr>
        <w:spacing w:line="480" w:lineRule="auto"/>
      </w:pPr>
      <w:r w:rsidRPr="00547EA0">
        <w:rPr>
          <w:b/>
        </w:rPr>
        <w:t>Default</w:t>
      </w:r>
      <w:r w:rsidR="004146FB" w:rsidRPr="00547EA0">
        <w:rPr>
          <w:b/>
        </w:rPr>
        <w:t xml:space="preserve"> </w:t>
      </w:r>
      <w:r w:rsidR="00F150D8" w:rsidRPr="00547EA0">
        <w:t>–</w:t>
      </w:r>
      <w:r w:rsidR="004146FB" w:rsidRPr="00547EA0">
        <w:t xml:space="preserve"> Th</w:t>
      </w:r>
      <w:r w:rsidR="00F150D8" w:rsidRPr="00547EA0">
        <w:t xml:space="preserve">is is the failure of one party to meet his contractual obligations, usually pecuniary, to another. </w:t>
      </w:r>
    </w:p>
    <w:p w14:paraId="29F427B0" w14:textId="16A361DB" w:rsidR="00E27D10" w:rsidRPr="00547EA0" w:rsidRDefault="00E27D10" w:rsidP="00852BE9">
      <w:pPr>
        <w:spacing w:line="480" w:lineRule="auto"/>
      </w:pPr>
    </w:p>
    <w:p w14:paraId="14EDDD03" w14:textId="245BCC69" w:rsidR="00E27D10" w:rsidRPr="00547EA0" w:rsidRDefault="00E27D10" w:rsidP="00852BE9">
      <w:pPr>
        <w:spacing w:line="480" w:lineRule="auto"/>
      </w:pPr>
      <w:r w:rsidRPr="00547EA0">
        <w:rPr>
          <w:rFonts w:ascii="Tahoma" w:hAnsi="Tahoma" w:cs="Tahoma"/>
        </w:rPr>
        <w:t>﻿</w:t>
      </w:r>
      <w:r w:rsidR="00016977" w:rsidRPr="00547EA0">
        <w:rPr>
          <w:b/>
        </w:rPr>
        <w:t>Debt Capital</w:t>
      </w:r>
      <w:r w:rsidRPr="00547EA0">
        <w:t xml:space="preserve">- This is </w:t>
      </w:r>
      <w:r w:rsidR="00F150D8" w:rsidRPr="00547EA0">
        <w:t>money raised by a borrowing company through debt, usually issued in capital markets</w:t>
      </w:r>
      <w:r w:rsidRPr="00547EA0">
        <w:t>.</w:t>
      </w:r>
    </w:p>
    <w:p w14:paraId="6223755A" w14:textId="0559DB96" w:rsidR="00E27D10" w:rsidRPr="00547EA0" w:rsidRDefault="00E27D10" w:rsidP="00852BE9">
      <w:pPr>
        <w:spacing w:line="480" w:lineRule="auto"/>
      </w:pPr>
    </w:p>
    <w:p w14:paraId="598137C9" w14:textId="338D476C" w:rsidR="00E27D10" w:rsidRPr="00547EA0" w:rsidRDefault="00E27D10" w:rsidP="00852BE9">
      <w:pPr>
        <w:spacing w:line="480" w:lineRule="auto"/>
      </w:pPr>
      <w:r w:rsidRPr="00547EA0">
        <w:rPr>
          <w:rFonts w:ascii="Tahoma" w:hAnsi="Tahoma" w:cs="Tahoma"/>
        </w:rPr>
        <w:t>﻿</w:t>
      </w:r>
      <w:r w:rsidR="007649B1" w:rsidRPr="00547EA0">
        <w:rPr>
          <w:b/>
        </w:rPr>
        <w:t>Fiduciary Duty</w:t>
      </w:r>
      <w:r w:rsidRPr="00547EA0">
        <w:t>- Th</w:t>
      </w:r>
      <w:r w:rsidR="00F150D8" w:rsidRPr="00547EA0">
        <w:t xml:space="preserve">is a duty of good faith and fair dealing owed by a party acting in trust or as an agent for another. </w:t>
      </w:r>
    </w:p>
    <w:p w14:paraId="0BACA057" w14:textId="6A65BD06" w:rsidR="00E27D10" w:rsidRPr="00547EA0" w:rsidRDefault="00E27D10" w:rsidP="00852BE9">
      <w:pPr>
        <w:spacing w:line="480" w:lineRule="auto"/>
      </w:pPr>
      <w:r w:rsidRPr="00547EA0">
        <w:rPr>
          <w:rFonts w:ascii="Tahoma" w:hAnsi="Tahoma" w:cs="Tahoma"/>
        </w:rPr>
        <w:t>﻿</w:t>
      </w:r>
    </w:p>
    <w:p w14:paraId="65197DDA" w14:textId="52791F25" w:rsidR="00E27D10" w:rsidRPr="00547EA0" w:rsidRDefault="00E27D10" w:rsidP="00852BE9">
      <w:pPr>
        <w:spacing w:line="480" w:lineRule="auto"/>
      </w:pPr>
      <w:r w:rsidRPr="00547EA0">
        <w:rPr>
          <w:b/>
        </w:rPr>
        <w:t>Security Interests</w:t>
      </w:r>
      <w:r w:rsidRPr="00547EA0">
        <w:t>- This is a right given to one party in the asset of another party to secure payment or performance by that other party or by a third party.</w:t>
      </w:r>
    </w:p>
    <w:p w14:paraId="4619921D" w14:textId="77777777" w:rsidR="00E27D10" w:rsidRPr="00547EA0" w:rsidRDefault="00E27D10" w:rsidP="00852BE9">
      <w:pPr>
        <w:spacing w:line="480" w:lineRule="auto"/>
      </w:pPr>
    </w:p>
    <w:p w14:paraId="588CAA8F" w14:textId="77777777" w:rsidR="00E27D10" w:rsidRPr="00547EA0" w:rsidRDefault="00E27D10" w:rsidP="00852BE9">
      <w:pPr>
        <w:spacing w:line="480" w:lineRule="auto"/>
      </w:pPr>
    </w:p>
    <w:p w14:paraId="67C95C5D" w14:textId="77777777" w:rsidR="00547EA0" w:rsidRPr="00547EA0" w:rsidRDefault="00547EA0" w:rsidP="00852BE9">
      <w:pPr>
        <w:spacing w:line="480" w:lineRule="auto"/>
        <w:rPr>
          <w:b/>
        </w:rPr>
      </w:pPr>
      <w:r w:rsidRPr="00547EA0">
        <w:rPr>
          <w:b/>
        </w:rPr>
        <w:br w:type="page"/>
      </w:r>
    </w:p>
    <w:p w14:paraId="7B42CDA2" w14:textId="0C3A6779" w:rsidR="00547EA0" w:rsidRPr="00547EA0" w:rsidRDefault="00547EA0" w:rsidP="00852BE9">
      <w:pPr>
        <w:pStyle w:val="ListParagraph"/>
        <w:spacing w:line="480" w:lineRule="auto"/>
        <w:ind w:left="360"/>
        <w:jc w:val="center"/>
        <w:rPr>
          <w:rFonts w:ascii="Times New Roman" w:hAnsi="Times New Roman" w:cs="Times New Roman"/>
          <w:b/>
        </w:rPr>
      </w:pPr>
      <w:r w:rsidRPr="00547EA0">
        <w:rPr>
          <w:rFonts w:ascii="Times New Roman" w:hAnsi="Times New Roman" w:cs="Times New Roman"/>
          <w:b/>
        </w:rPr>
        <w:lastRenderedPageBreak/>
        <w:t>PART TWO</w:t>
      </w:r>
    </w:p>
    <w:p w14:paraId="64262845" w14:textId="73252F8C" w:rsidR="00DC3E5A" w:rsidRPr="00547EA0" w:rsidRDefault="00547EA0" w:rsidP="00852BE9">
      <w:pPr>
        <w:pStyle w:val="ListParagraph"/>
        <w:spacing w:line="480" w:lineRule="auto"/>
        <w:ind w:left="360"/>
        <w:jc w:val="center"/>
        <w:rPr>
          <w:rFonts w:ascii="Times New Roman" w:hAnsi="Times New Roman" w:cs="Times New Roman"/>
        </w:rPr>
      </w:pPr>
      <w:r w:rsidRPr="00547EA0">
        <w:rPr>
          <w:rFonts w:ascii="Times New Roman" w:hAnsi="Times New Roman" w:cs="Times New Roman"/>
          <w:b/>
        </w:rPr>
        <w:t>BRIEF OVERVIEW OF THE TRUST DEED</w:t>
      </w:r>
    </w:p>
    <w:p w14:paraId="3A467EEF" w14:textId="749DFEA0" w:rsidR="00DC3E5A" w:rsidRPr="00547EA0" w:rsidRDefault="00DC3E5A" w:rsidP="00852BE9">
      <w:pPr>
        <w:spacing w:line="480" w:lineRule="auto"/>
        <w:jc w:val="both"/>
        <w:rPr>
          <w:bCs/>
        </w:rPr>
      </w:pPr>
    </w:p>
    <w:p w14:paraId="01CE2E30" w14:textId="57DD16EB" w:rsidR="00DC3E5A" w:rsidRPr="00547EA0" w:rsidRDefault="00146999" w:rsidP="00852BE9">
      <w:pPr>
        <w:spacing w:line="480" w:lineRule="auto"/>
        <w:jc w:val="both"/>
        <w:rPr>
          <w:bCs/>
        </w:rPr>
      </w:pPr>
      <w:r w:rsidRPr="00547EA0">
        <w:rPr>
          <w:rFonts w:ascii="Tahoma" w:hAnsi="Tahoma" w:cs="Tahoma"/>
          <w:bCs/>
        </w:rPr>
        <w:t>﻿</w:t>
      </w:r>
      <w:r w:rsidRPr="00547EA0">
        <w:rPr>
          <w:bCs/>
        </w:rPr>
        <w:t>An overview of the trust deed shall be examined in this paper from its historical, con</w:t>
      </w:r>
      <w:r w:rsidR="008051DB" w:rsidRPr="00547EA0">
        <w:rPr>
          <w:bCs/>
        </w:rPr>
        <w:t>ceptual and utilitarian roots</w:t>
      </w:r>
      <w:r w:rsidRPr="00547EA0">
        <w:rPr>
          <w:bCs/>
        </w:rPr>
        <w:t>.</w:t>
      </w:r>
    </w:p>
    <w:p w14:paraId="5798D185" w14:textId="77777777" w:rsidR="00DC3E5A" w:rsidRPr="00547EA0" w:rsidRDefault="00DC3E5A" w:rsidP="00852BE9">
      <w:pPr>
        <w:spacing w:line="480" w:lineRule="auto"/>
        <w:jc w:val="both"/>
        <w:rPr>
          <w:bCs/>
        </w:rPr>
      </w:pPr>
    </w:p>
    <w:p w14:paraId="26E3B83C" w14:textId="49C1F593" w:rsidR="00DC3E5A" w:rsidRPr="00547EA0" w:rsidRDefault="00DC3E5A" w:rsidP="00852BE9">
      <w:pPr>
        <w:spacing w:line="480" w:lineRule="auto"/>
        <w:jc w:val="both"/>
        <w:rPr>
          <w:bCs/>
        </w:rPr>
      </w:pPr>
      <w:r w:rsidRPr="00547EA0">
        <w:rPr>
          <w:bCs/>
        </w:rPr>
        <w:t xml:space="preserve">2.1 </w:t>
      </w:r>
      <w:r w:rsidRPr="00547EA0">
        <w:rPr>
          <w:b/>
          <w:color w:val="000000"/>
          <w:shd w:val="clear" w:color="auto" w:fill="FFFFFF"/>
        </w:rPr>
        <w:t xml:space="preserve">Historical Evolution of </w:t>
      </w:r>
      <w:r w:rsidR="007D67A3" w:rsidRPr="00547EA0">
        <w:rPr>
          <w:b/>
          <w:color w:val="000000"/>
          <w:shd w:val="clear" w:color="auto" w:fill="FFFFFF"/>
        </w:rPr>
        <w:t xml:space="preserve">the </w:t>
      </w:r>
      <w:r w:rsidRPr="00547EA0">
        <w:rPr>
          <w:b/>
          <w:color w:val="000000"/>
          <w:shd w:val="clear" w:color="auto" w:fill="FFFFFF"/>
        </w:rPr>
        <w:t>Trust Deed</w:t>
      </w:r>
      <w:r w:rsidRPr="00547EA0">
        <w:rPr>
          <w:bCs/>
        </w:rPr>
        <w:t xml:space="preserve"> </w:t>
      </w:r>
    </w:p>
    <w:p w14:paraId="60DE2A4F" w14:textId="77777777" w:rsidR="00DC3E5A" w:rsidRPr="00547EA0" w:rsidRDefault="00DC3E5A" w:rsidP="00852BE9">
      <w:pPr>
        <w:spacing w:line="480" w:lineRule="auto"/>
        <w:jc w:val="both"/>
        <w:rPr>
          <w:bCs/>
        </w:rPr>
      </w:pPr>
      <w:r w:rsidRPr="00547EA0">
        <w:rPr>
          <w:bCs/>
        </w:rPr>
        <w:t xml:space="preserve">      </w:t>
      </w:r>
    </w:p>
    <w:p w14:paraId="07C4C057" w14:textId="77777777" w:rsidR="00E77490" w:rsidRPr="00547EA0" w:rsidRDefault="004D530D" w:rsidP="00852BE9">
      <w:pPr>
        <w:spacing w:after="240" w:line="480" w:lineRule="auto"/>
        <w:jc w:val="both"/>
      </w:pPr>
      <w:r w:rsidRPr="00547EA0">
        <w:rPr>
          <w:rFonts w:ascii="Tahoma" w:hAnsi="Tahoma" w:cs="Tahoma"/>
        </w:rPr>
        <w:t>﻿</w:t>
      </w:r>
      <w:r w:rsidR="00E16F08" w:rsidRPr="00547EA0">
        <w:t xml:space="preserve">The debt holder remedy of the trust deed stems from the historical difference that shareholders are owners and bondholders are lenders. This distinction justifies different laws to safeguard each holder's rights. </w:t>
      </w:r>
      <w:r w:rsidR="006E5D6C" w:rsidRPr="00547EA0">
        <w:t>Early in the modern corporate structure, US bondholders had two sorts of state company law protection. First, in the 1800s, US corporations had to make excess profits to pay dividends.</w:t>
      </w:r>
      <w:r w:rsidR="006E5D6C" w:rsidRPr="00547EA0">
        <w:rPr>
          <w:rStyle w:val="FootnoteReference"/>
        </w:rPr>
        <w:footnoteReference w:id="9"/>
      </w:r>
      <w:r w:rsidR="006E5D6C" w:rsidRPr="00547EA0">
        <w:t xml:space="preserve"> States set minimum capital requirements for firms to pay dividends. In the 1800s and early 1900s, state regulations limited </w:t>
      </w:r>
      <w:r w:rsidR="00D03447" w:rsidRPr="00547EA0">
        <w:t>issuable company</w:t>
      </w:r>
      <w:r w:rsidR="006E5D6C" w:rsidRPr="00547EA0">
        <w:t xml:space="preserve"> debt, </w:t>
      </w:r>
      <w:r w:rsidR="00D03447" w:rsidRPr="00547EA0">
        <w:t xml:space="preserve">thus </w:t>
      </w:r>
      <w:r w:rsidR="006E5D6C" w:rsidRPr="00547EA0">
        <w:t>protecting bondholders.</w:t>
      </w:r>
      <w:r w:rsidR="00D03447" w:rsidRPr="00547EA0">
        <w:rPr>
          <w:rStyle w:val="FootnoteReference"/>
        </w:rPr>
        <w:footnoteReference w:id="10"/>
      </w:r>
      <w:r w:rsidR="006E5D6C" w:rsidRPr="00547EA0">
        <w:t xml:space="preserve"> Some </w:t>
      </w:r>
      <w:r w:rsidR="00D03447" w:rsidRPr="00547EA0">
        <w:t xml:space="preserve">states </w:t>
      </w:r>
      <w:r w:rsidR="006E5D6C" w:rsidRPr="00547EA0">
        <w:t>restricted a firm's debt to a percentage of its capital stock, while others required shareholder approval of debt growth. In the 1920s and 1930s, these regulations were repealed to "protect creditors, stockholders and the state itself against the dangers of excessive debt".</w:t>
      </w:r>
      <w:r w:rsidR="00CF27E4" w:rsidRPr="00547EA0">
        <w:rPr>
          <w:rStyle w:val="FootnoteReference"/>
        </w:rPr>
        <w:footnoteReference w:id="11"/>
      </w:r>
    </w:p>
    <w:p w14:paraId="49114475" w14:textId="06A87608" w:rsidR="00A6281E" w:rsidRPr="00547EA0" w:rsidRDefault="006E5D6C" w:rsidP="00852BE9">
      <w:pPr>
        <w:spacing w:after="240" w:line="480" w:lineRule="auto"/>
        <w:jc w:val="both"/>
      </w:pPr>
      <w:r w:rsidRPr="00547EA0">
        <w:br/>
        <w:t xml:space="preserve">In </w:t>
      </w:r>
      <w:r w:rsidR="005E171A" w:rsidRPr="00547EA0">
        <w:t xml:space="preserve">addition to regulatory protection against "excessive" dividend payments and debt concerns, </w:t>
      </w:r>
      <w:r w:rsidR="005E171A" w:rsidRPr="00547EA0">
        <w:lastRenderedPageBreak/>
        <w:t xml:space="preserve">corporate bond arrangements were long and complicated throughout the 1800s and early 1900s. Due to the complexity of bond contracts and the ineffectiveness of many protective bond covenants, various initiatives were made to simplify and </w:t>
      </w:r>
      <w:r w:rsidR="00C138C3" w:rsidRPr="00547EA0">
        <w:t>standardize</w:t>
      </w:r>
      <w:r w:rsidR="005E171A" w:rsidRPr="00547EA0">
        <w:t xml:space="preserve"> corporate indentures. In 1955, the American Bar Association's (ABA) department of corporation, banking, and commercial law </w:t>
      </w:r>
      <w:r w:rsidR="00A6281E" w:rsidRPr="00547EA0">
        <w:t>organized</w:t>
      </w:r>
      <w:r w:rsidR="005E171A" w:rsidRPr="00547EA0">
        <w:t xml:space="preserve"> a panel to examine methods to simplify and </w:t>
      </w:r>
      <w:r w:rsidR="00C51067" w:rsidRPr="00547EA0">
        <w:t>standardize</w:t>
      </w:r>
      <w:r w:rsidR="005E171A" w:rsidRPr="00547EA0">
        <w:t xml:space="preserve"> bond documents, which the ABA and American Bar Foundation adopted in 1960. This project created boilerplate requirements for indenture agreements.</w:t>
      </w:r>
      <w:r w:rsidR="00A6281E" w:rsidRPr="00547EA0">
        <w:rPr>
          <w:rStyle w:val="FootnoteReference"/>
        </w:rPr>
        <w:footnoteReference w:id="12"/>
      </w:r>
    </w:p>
    <w:p w14:paraId="47934351" w14:textId="3BA36995" w:rsidR="005E171A" w:rsidRPr="00547EA0" w:rsidRDefault="005E171A" w:rsidP="00852BE9">
      <w:pPr>
        <w:spacing w:after="240" w:line="480" w:lineRule="auto"/>
        <w:jc w:val="both"/>
      </w:pPr>
      <w:r w:rsidRPr="00547EA0">
        <w:br/>
      </w:r>
      <w:r w:rsidR="00C138C3" w:rsidRPr="00547EA0">
        <w:t xml:space="preserve">Corporate bond contracts in </w:t>
      </w:r>
      <w:r w:rsidR="00C51067" w:rsidRPr="00547EA0">
        <w:t>the United</w:t>
      </w:r>
      <w:r w:rsidR="00C138C3" w:rsidRPr="00547EA0">
        <w:t xml:space="preserve"> </w:t>
      </w:r>
      <w:r w:rsidRPr="00547EA0">
        <w:t>S</w:t>
      </w:r>
      <w:r w:rsidR="00C138C3" w:rsidRPr="00547EA0">
        <w:t>tates</w:t>
      </w:r>
      <w:r w:rsidRPr="00547EA0">
        <w:t xml:space="preserve"> changed from extensive, comprehensive, and unique indenture agreements in the late 19th century to shorter, more </w:t>
      </w:r>
      <w:r w:rsidR="00A6281E" w:rsidRPr="00547EA0">
        <w:t>standardized</w:t>
      </w:r>
      <w:r w:rsidRPr="00547EA0">
        <w:t xml:space="preserve"> contracts by the early 1980s.</w:t>
      </w:r>
      <w:r w:rsidR="00A6281E" w:rsidRPr="00547EA0">
        <w:rPr>
          <w:rStyle w:val="FootnoteReference"/>
        </w:rPr>
        <w:footnoteReference w:id="13"/>
      </w:r>
      <w:r w:rsidRPr="00547EA0">
        <w:t xml:space="preserve"> The sorts of situations bondholders wanted protection against also changed substantially. Perhaps most relevant to the debt governance </w:t>
      </w:r>
      <w:r w:rsidR="00C138C3" w:rsidRPr="00547EA0">
        <w:t>debate</w:t>
      </w:r>
      <w:r w:rsidRPr="00547EA0">
        <w:t xml:space="preserve">, bondholders have tried to contractually regulate </w:t>
      </w:r>
      <w:r w:rsidR="00E837DA" w:rsidRPr="00547EA0">
        <w:t xml:space="preserve">priority, </w:t>
      </w:r>
      <w:r w:rsidR="00C138C3" w:rsidRPr="00547EA0">
        <w:t>companies</w:t>
      </w:r>
      <w:r w:rsidRPr="00547EA0">
        <w:t xml:space="preserve">' dividend policy and </w:t>
      </w:r>
      <w:r w:rsidR="00A6281E" w:rsidRPr="00547EA0">
        <w:t xml:space="preserve">additional </w:t>
      </w:r>
      <w:r w:rsidRPr="00547EA0">
        <w:t xml:space="preserve">debt issuance, two prohibitions originally reflected in </w:t>
      </w:r>
      <w:r w:rsidR="00C138C3" w:rsidRPr="00547EA0">
        <w:t>United States’ municipal</w:t>
      </w:r>
      <w:r w:rsidRPr="00547EA0">
        <w:t xml:space="preserve"> company laws.</w:t>
      </w:r>
    </w:p>
    <w:p w14:paraId="71F2A623" w14:textId="531B3B3F" w:rsidR="006E5D6C" w:rsidRPr="00547EA0" w:rsidRDefault="00A6281E" w:rsidP="00852BE9">
      <w:pPr>
        <w:spacing w:after="240" w:line="480" w:lineRule="auto"/>
        <w:jc w:val="both"/>
      </w:pPr>
      <w:r w:rsidRPr="00547EA0">
        <w:rPr>
          <w:bCs/>
        </w:rPr>
        <w:t xml:space="preserve">2.2 </w:t>
      </w:r>
      <w:r w:rsidRPr="00547EA0">
        <w:rPr>
          <w:b/>
          <w:color w:val="000000"/>
          <w:shd w:val="clear" w:color="auto" w:fill="FFFFFF"/>
        </w:rPr>
        <w:t>Legal Principles Underpinning Trust Deeds</w:t>
      </w:r>
    </w:p>
    <w:p w14:paraId="39E4C561" w14:textId="2018E37D" w:rsidR="00E16F08" w:rsidRPr="00547EA0" w:rsidRDefault="006C4F2A" w:rsidP="00852BE9">
      <w:pPr>
        <w:spacing w:after="240" w:line="480" w:lineRule="auto"/>
        <w:jc w:val="both"/>
      </w:pPr>
      <w:r w:rsidRPr="00547EA0">
        <w:rPr>
          <w:rFonts w:ascii="Tahoma" w:hAnsi="Tahoma" w:cs="Tahoma"/>
        </w:rPr>
        <w:t>﻿</w:t>
      </w:r>
      <w:r w:rsidR="003139CF" w:rsidRPr="00547EA0">
        <w:rPr>
          <w:rFonts w:ascii="Tahoma" w:hAnsi="Tahoma" w:cs="Tahoma"/>
        </w:rPr>
        <w:t>﻿</w:t>
      </w:r>
      <w:r w:rsidR="003139CF" w:rsidRPr="00547EA0">
        <w:t xml:space="preserve">Creditor protection had always been a very important aspect of company law from the inception. </w:t>
      </w:r>
      <w:r w:rsidR="003139CF" w:rsidRPr="00547EA0">
        <w:rPr>
          <w:rFonts w:ascii="Tahoma" w:hAnsi="Tahoma" w:cs="Tahoma"/>
        </w:rPr>
        <w:t>﻿</w:t>
      </w:r>
      <w:r w:rsidR="003139CF" w:rsidRPr="00547EA0">
        <w:t>The modern company law had evolved with various doctrines and rules for the protection of the shareholders,</w:t>
      </w:r>
      <w:r w:rsidR="003139CF" w:rsidRPr="00547EA0">
        <w:rPr>
          <w:rStyle w:val="FootnoteReference"/>
        </w:rPr>
        <w:footnoteReference w:id="14"/>
      </w:r>
      <w:r w:rsidR="003139CF" w:rsidRPr="00547EA0">
        <w:t xml:space="preserve"> however, very little protection is afforded the debenture holders of the company securities, while the shareholders are regarded as ‘owners’,</w:t>
      </w:r>
      <w:r w:rsidR="003139CF" w:rsidRPr="00547EA0">
        <w:rPr>
          <w:rStyle w:val="FootnoteReference"/>
        </w:rPr>
        <w:footnoteReference w:id="15"/>
      </w:r>
      <w:r w:rsidR="003139CF" w:rsidRPr="00547EA0">
        <w:t xml:space="preserve"> </w:t>
      </w:r>
      <w:r w:rsidR="003139CF" w:rsidRPr="00547EA0">
        <w:rPr>
          <w:rFonts w:ascii="Tahoma" w:hAnsi="Tahoma" w:cs="Tahoma"/>
        </w:rPr>
        <w:t>﻿</w:t>
      </w:r>
      <w:r w:rsidR="003139CF" w:rsidRPr="00547EA0">
        <w:t xml:space="preserve">the debenture holders are mere lenders or creditors; and while the shareholders are regarded as insiders, the debenture </w:t>
      </w:r>
      <w:r w:rsidR="003139CF" w:rsidRPr="00547EA0">
        <w:lastRenderedPageBreak/>
        <w:t>holders are seen as outsiders</w:t>
      </w:r>
      <w:r w:rsidR="003139CF" w:rsidRPr="00F7629A">
        <w:t>. Unless the articles permit, the debenture holders are not entitled to attend the general meetings of the company or vote in such meetings.</w:t>
      </w:r>
      <w:r w:rsidR="003139CF" w:rsidRPr="00547EA0">
        <w:t xml:space="preserve"> </w:t>
      </w:r>
      <w:r w:rsidRPr="00547EA0">
        <w:t xml:space="preserve">The </w:t>
      </w:r>
      <w:r w:rsidR="00EF0E1F" w:rsidRPr="00547EA0">
        <w:t xml:space="preserve">core legal </w:t>
      </w:r>
      <w:r w:rsidR="00C4780F" w:rsidRPr="00547EA0">
        <w:t>mechanism</w:t>
      </w:r>
      <w:r w:rsidR="00EF0E1F" w:rsidRPr="00547EA0">
        <w:t>s</w:t>
      </w:r>
      <w:r w:rsidRPr="00547EA0">
        <w:t xml:space="preserve"> </w:t>
      </w:r>
      <w:r w:rsidR="00C4780F" w:rsidRPr="00547EA0">
        <w:t xml:space="preserve">that have evolved for creditor protection are quite rigid. </w:t>
      </w:r>
      <w:r w:rsidRPr="00547EA0">
        <w:t xml:space="preserve"> </w:t>
      </w:r>
      <w:r w:rsidR="00C4780F" w:rsidRPr="00547EA0">
        <w:t>Underpinning the</w:t>
      </w:r>
      <w:r w:rsidRPr="00547EA0">
        <w:t xml:space="preserve"> </w:t>
      </w:r>
      <w:r w:rsidR="006F053C" w:rsidRPr="00547EA0">
        <w:t xml:space="preserve">debenture </w:t>
      </w:r>
      <w:r w:rsidR="00EF0E1F" w:rsidRPr="00547EA0">
        <w:t>trust deed</w:t>
      </w:r>
      <w:r w:rsidRPr="00547EA0">
        <w:t xml:space="preserve"> </w:t>
      </w:r>
      <w:r w:rsidR="00EF0E1F" w:rsidRPr="00547EA0">
        <w:t xml:space="preserve">are </w:t>
      </w:r>
      <w:r w:rsidR="00C4780F" w:rsidRPr="00547EA0">
        <w:t>principles</w:t>
      </w:r>
      <w:r w:rsidR="00EF0E1F" w:rsidRPr="00547EA0">
        <w:t xml:space="preserve"> </w:t>
      </w:r>
      <w:r w:rsidR="00C4780F" w:rsidRPr="00547EA0">
        <w:t>which</w:t>
      </w:r>
      <w:r w:rsidR="00EF0E1F" w:rsidRPr="00547EA0">
        <w:t xml:space="preserve"> ensure priority for creditor claims in </w:t>
      </w:r>
      <w:r w:rsidR="00AF087C" w:rsidRPr="00547EA0">
        <w:t>the event of</w:t>
      </w:r>
      <w:r w:rsidR="00EF0E1F" w:rsidRPr="00547EA0">
        <w:t xml:space="preserve"> bankruptcy</w:t>
      </w:r>
      <w:r w:rsidR="00C4780F" w:rsidRPr="00547EA0">
        <w:rPr>
          <w:rStyle w:val="FootnoteReference"/>
        </w:rPr>
        <w:footnoteReference w:id="16"/>
      </w:r>
      <w:r w:rsidR="00EF0E1F" w:rsidRPr="00547EA0">
        <w:t>, uphold the common law and statutory regime of legal capital requirements</w:t>
      </w:r>
      <w:r w:rsidR="00C4780F" w:rsidRPr="00547EA0">
        <w:rPr>
          <w:rStyle w:val="FootnoteReference"/>
        </w:rPr>
        <w:footnoteReference w:id="17"/>
      </w:r>
      <w:r w:rsidR="00EF0E1F" w:rsidRPr="00547EA0">
        <w:t>, prohibits fraudulent conveyances</w:t>
      </w:r>
      <w:r w:rsidR="005C224D" w:rsidRPr="00547EA0">
        <w:rPr>
          <w:rStyle w:val="FootnoteReference"/>
        </w:rPr>
        <w:footnoteReference w:id="18"/>
      </w:r>
      <w:r w:rsidR="00EF0E1F" w:rsidRPr="00547EA0">
        <w:t xml:space="preserve">, </w:t>
      </w:r>
      <w:r w:rsidR="00E16A50" w:rsidRPr="00547EA0">
        <w:t xml:space="preserve">and </w:t>
      </w:r>
      <w:r w:rsidR="00AF087C" w:rsidRPr="00547EA0">
        <w:t xml:space="preserve">enforces </w:t>
      </w:r>
      <w:r w:rsidR="00EF0E1F" w:rsidRPr="00547EA0">
        <w:t>good faith, tort, and equity theories</w:t>
      </w:r>
      <w:r w:rsidR="00AF087C" w:rsidRPr="00547EA0">
        <w:rPr>
          <w:rStyle w:val="FootnoteReference"/>
        </w:rPr>
        <w:footnoteReference w:id="19"/>
      </w:r>
      <w:r w:rsidR="00EF0E1F" w:rsidRPr="00547EA0">
        <w:t xml:space="preserve">, and the </w:t>
      </w:r>
      <w:r w:rsidR="006F053C" w:rsidRPr="00547EA0">
        <w:t>debenture trust deed</w:t>
      </w:r>
      <w:r w:rsidR="00EF0E1F" w:rsidRPr="00547EA0">
        <w:t xml:space="preserve">. </w:t>
      </w:r>
      <w:r w:rsidR="004C0D46" w:rsidRPr="00547EA0">
        <w:t xml:space="preserve">Because </w:t>
      </w:r>
      <w:r w:rsidR="00AF087C" w:rsidRPr="00547EA0">
        <w:t xml:space="preserve">unlike shareholders, </w:t>
      </w:r>
      <w:r w:rsidR="004C0D46" w:rsidRPr="00547EA0">
        <w:t xml:space="preserve">bondholders do not play the same role as the shareholders in corporate management, </w:t>
      </w:r>
      <w:r w:rsidR="00AF087C" w:rsidRPr="00547EA0">
        <w:t>the usual residual protections</w:t>
      </w:r>
      <w:r w:rsidR="004C0D46" w:rsidRPr="00547EA0">
        <w:t xml:space="preserve"> simply do not apply in the absence of fraud, distress, or bankruptcy. </w:t>
      </w:r>
      <w:r w:rsidR="00AF087C" w:rsidRPr="00547EA0">
        <w:t xml:space="preserve">As a result of the foregoing, as a general rule, the </w:t>
      </w:r>
      <w:r w:rsidR="003139CF" w:rsidRPr="00547EA0">
        <w:t xml:space="preserve">debenture </w:t>
      </w:r>
      <w:r w:rsidR="00AF087C" w:rsidRPr="00547EA0">
        <w:t xml:space="preserve">holder relies on the </w:t>
      </w:r>
      <w:r w:rsidR="003139CF" w:rsidRPr="00547EA0">
        <w:t xml:space="preserve">debenture </w:t>
      </w:r>
      <w:r w:rsidR="00AF087C" w:rsidRPr="00547EA0">
        <w:t>trust deed for protection</w:t>
      </w:r>
      <w:r w:rsidR="003139CF" w:rsidRPr="00547EA0">
        <w:rPr>
          <w:rStyle w:val="FootnoteReference"/>
        </w:rPr>
        <w:footnoteReference w:id="20"/>
      </w:r>
      <w:r w:rsidR="00AF087C" w:rsidRPr="00547EA0">
        <w:t>.</w:t>
      </w:r>
    </w:p>
    <w:p w14:paraId="2F5D8A3F" w14:textId="77777777" w:rsidR="00AF087C" w:rsidRPr="00547EA0" w:rsidRDefault="00E16F08" w:rsidP="00852BE9">
      <w:pPr>
        <w:spacing w:line="480" w:lineRule="auto"/>
        <w:jc w:val="both"/>
        <w:rPr>
          <w:bCs/>
        </w:rPr>
      </w:pPr>
      <w:r w:rsidRPr="00547EA0">
        <w:t xml:space="preserve"> </w:t>
      </w:r>
      <w:r w:rsidR="00AF087C" w:rsidRPr="00547EA0">
        <w:rPr>
          <w:bCs/>
        </w:rPr>
        <w:t xml:space="preserve">2.3 </w:t>
      </w:r>
      <w:r w:rsidR="00AF087C" w:rsidRPr="00547EA0">
        <w:rPr>
          <w:b/>
          <w:color w:val="000000"/>
          <w:shd w:val="clear" w:color="auto" w:fill="FFFFFF"/>
        </w:rPr>
        <w:t>Concepts in Debt Governance</w:t>
      </w:r>
      <w:r w:rsidR="00AF087C" w:rsidRPr="00547EA0">
        <w:rPr>
          <w:bCs/>
        </w:rPr>
        <w:t xml:space="preserve"> </w:t>
      </w:r>
    </w:p>
    <w:p w14:paraId="328D520D" w14:textId="77777777" w:rsidR="00AF087C" w:rsidRPr="00547EA0" w:rsidRDefault="00AF087C" w:rsidP="00852BE9">
      <w:pPr>
        <w:spacing w:line="480" w:lineRule="auto"/>
        <w:jc w:val="both"/>
        <w:rPr>
          <w:bCs/>
        </w:rPr>
      </w:pPr>
      <w:r w:rsidRPr="00547EA0">
        <w:rPr>
          <w:bCs/>
        </w:rPr>
        <w:t xml:space="preserve">      </w:t>
      </w:r>
    </w:p>
    <w:p w14:paraId="1DEDD29F" w14:textId="77C2D945" w:rsidR="002A37A2" w:rsidRPr="00547EA0" w:rsidRDefault="00E11C90" w:rsidP="00852BE9">
      <w:pPr>
        <w:spacing w:after="240" w:line="480" w:lineRule="auto"/>
        <w:jc w:val="both"/>
      </w:pPr>
      <w:r w:rsidRPr="00547EA0">
        <w:t xml:space="preserve">Recent years have seen shareholders and debenture holders become increasingly similar. Both </w:t>
      </w:r>
      <w:proofErr w:type="spellStart"/>
      <w:r w:rsidRPr="00547EA0">
        <w:t>organisations</w:t>
      </w:r>
      <w:proofErr w:type="spellEnd"/>
      <w:r w:rsidRPr="00547EA0">
        <w:t xml:space="preserve"> fund the enterprise in return for income.</w:t>
      </w:r>
      <w:r w:rsidR="002A37A2" w:rsidRPr="00547EA0">
        <w:rPr>
          <w:rStyle w:val="FootnoteReference"/>
        </w:rPr>
        <w:footnoteReference w:id="21"/>
      </w:r>
      <w:r w:rsidRPr="00547EA0">
        <w:t> The sole difference between these investors is their risk/return expectations.</w:t>
      </w:r>
      <w:r w:rsidR="002A37A2" w:rsidRPr="00547EA0">
        <w:rPr>
          <w:rStyle w:val="FootnoteReference"/>
        </w:rPr>
        <w:footnoteReference w:id="22"/>
      </w:r>
      <w:r w:rsidRPr="00547EA0">
        <w:t xml:space="preserve"> Investors typically consult their financial consultants before buying shares or debenture stock in a company. However, this option may have serious </w:t>
      </w:r>
      <w:r w:rsidRPr="00547EA0">
        <w:lastRenderedPageBreak/>
        <w:t>legal implications. Debenture holders may discover that the present legal system makes them susceptible, contrary to their expectations.</w:t>
      </w:r>
    </w:p>
    <w:p w14:paraId="3DC53EF9" w14:textId="77777777" w:rsidR="00D962E3" w:rsidRPr="00547EA0" w:rsidRDefault="00E11C90" w:rsidP="00852BE9">
      <w:pPr>
        <w:spacing w:after="240" w:line="480" w:lineRule="auto"/>
        <w:jc w:val="both"/>
      </w:pPr>
      <w:r w:rsidRPr="00547EA0">
        <w:br/>
        <w:t xml:space="preserve">The offer and sale processes are generally the same for debenture holders and shareholders, even though they have no vote in the corporate decision to issue and sell </w:t>
      </w:r>
      <w:r w:rsidR="00454D88" w:rsidRPr="00547EA0">
        <w:t>company securities</w:t>
      </w:r>
      <w:r w:rsidRPr="00547EA0">
        <w:t>. The securities are sold on the open market once underwriters or dealers comply with stock exchange standards.</w:t>
      </w:r>
      <w:r w:rsidR="002A37A2" w:rsidRPr="00547EA0">
        <w:rPr>
          <w:rStyle w:val="FootnoteReference"/>
        </w:rPr>
        <w:footnoteReference w:id="23"/>
      </w:r>
      <w:r w:rsidRPr="00547EA0">
        <w:t xml:space="preserve"> Shareholders own their shares after payment and issue. Debenture holders are in a different position. The trustee of the debenture stock owns the shares, while the holder simply receives its advantages. The debenture holders did not choose the trustee or draft the trust deed, which describes their contractual rights. The trust deed is legally obligatory for them, even if they don't participate.</w:t>
      </w:r>
      <w:r w:rsidR="00454D88" w:rsidRPr="00547EA0">
        <w:t xml:space="preserve"> </w:t>
      </w:r>
      <w:r w:rsidR="00341B4D" w:rsidRPr="00547EA0">
        <w:t xml:space="preserve">The law in </w:t>
      </w:r>
      <w:r w:rsidRPr="00547EA0">
        <w:t>Nigeria</w:t>
      </w:r>
      <w:r w:rsidR="00341B4D" w:rsidRPr="00547EA0">
        <w:t xml:space="preserve">, for example, </w:t>
      </w:r>
      <w:r w:rsidRPr="00547EA0">
        <w:t>ha</w:t>
      </w:r>
      <w:r w:rsidR="00341B4D" w:rsidRPr="00547EA0">
        <w:t xml:space="preserve">s </w:t>
      </w:r>
      <w:r w:rsidRPr="00547EA0">
        <w:t>n</w:t>
      </w:r>
      <w:r w:rsidR="00341B4D" w:rsidRPr="00547EA0">
        <w:t>o</w:t>
      </w:r>
      <w:r w:rsidRPr="00547EA0">
        <w:t>t solved its challenges. It may not be possible to allow investors to choose a trustee or include debenture holders in the debenture trust deed. Thus, if all agreements and terms are against them, they have no remedy.</w:t>
      </w:r>
      <w:r w:rsidR="00341B4D" w:rsidRPr="00547EA0">
        <w:t xml:space="preserve"> By law, c</w:t>
      </w:r>
      <w:r w:rsidRPr="00547EA0">
        <w:t>o</w:t>
      </w:r>
      <w:r w:rsidR="00341B4D" w:rsidRPr="00547EA0">
        <w:t xml:space="preserve">mpany </w:t>
      </w:r>
      <w:r w:rsidRPr="00547EA0">
        <w:t>shareholders pick directors</w:t>
      </w:r>
      <w:r w:rsidR="00341B4D" w:rsidRPr="00547EA0">
        <w:rPr>
          <w:rStyle w:val="FootnoteReference"/>
        </w:rPr>
        <w:footnoteReference w:id="24"/>
      </w:r>
      <w:r w:rsidRPr="00547EA0">
        <w:t>. However, they may not appoint the first Directors.</w:t>
      </w:r>
      <w:r w:rsidR="00341B4D" w:rsidRPr="00547EA0">
        <w:rPr>
          <w:rStyle w:val="FootnoteReference"/>
        </w:rPr>
        <w:footnoteReference w:id="25"/>
      </w:r>
      <w:r w:rsidR="004B19B7" w:rsidRPr="00547EA0">
        <w:t xml:space="preserve"> </w:t>
      </w:r>
      <w:r w:rsidRPr="00547EA0">
        <w:t>Debenture</w:t>
      </w:r>
      <w:r w:rsidR="004B19B7" w:rsidRPr="00547EA0">
        <w:t xml:space="preserve"> holders</w:t>
      </w:r>
      <w:r w:rsidRPr="00547EA0">
        <w:t xml:space="preserve"> </w:t>
      </w:r>
      <w:r w:rsidR="004B19B7" w:rsidRPr="00547EA0">
        <w:t>have a different position</w:t>
      </w:r>
      <w:r w:rsidRPr="00547EA0">
        <w:t>. Individuals cannot pick trustees. Even if they become debenture holders, they may only ask the court to remove their trustee if a conflict of interest is likel</w:t>
      </w:r>
      <w:r w:rsidR="004B19B7" w:rsidRPr="00547EA0">
        <w:t>y</w:t>
      </w:r>
      <w:r w:rsidR="004B19B7" w:rsidRPr="00547EA0">
        <w:rPr>
          <w:rStyle w:val="FootnoteReference"/>
        </w:rPr>
        <w:footnoteReference w:id="26"/>
      </w:r>
      <w:r w:rsidR="004B19B7" w:rsidRPr="00547EA0">
        <w:t>.</w:t>
      </w:r>
      <w:r w:rsidRPr="00547EA0">
        <w:t xml:space="preserve"> </w:t>
      </w:r>
      <w:r w:rsidR="004B19B7" w:rsidRPr="00547EA0">
        <w:t>I</w:t>
      </w:r>
      <w:r w:rsidRPr="00547EA0">
        <w:t>ndividual debenture holders cannot achieve this alone; they must work with the majority. This assures that the majority can always stop the minority. Unlike shareholders, minority debenture holders under debenture trust deeds have minimal redress.</w:t>
      </w:r>
    </w:p>
    <w:p w14:paraId="530DAC2D" w14:textId="08121C39" w:rsidR="00D962E3" w:rsidRPr="00547EA0" w:rsidRDefault="00E11C90" w:rsidP="00852BE9">
      <w:pPr>
        <w:spacing w:line="480" w:lineRule="auto"/>
        <w:jc w:val="both"/>
        <w:rPr>
          <w:bCs/>
        </w:rPr>
      </w:pPr>
      <w:r w:rsidRPr="00547EA0">
        <w:t xml:space="preserve"> </w:t>
      </w:r>
      <w:r w:rsidR="00D962E3" w:rsidRPr="00547EA0">
        <w:rPr>
          <w:bCs/>
        </w:rPr>
        <w:t xml:space="preserve">2.4 </w:t>
      </w:r>
      <w:r w:rsidR="00D962E3" w:rsidRPr="00547EA0">
        <w:rPr>
          <w:b/>
          <w:color w:val="000000"/>
          <w:shd w:val="clear" w:color="auto" w:fill="FFFFFF"/>
        </w:rPr>
        <w:t xml:space="preserve">Role of Trust Deeds </w:t>
      </w:r>
      <w:r w:rsidR="00E21101" w:rsidRPr="00547EA0">
        <w:rPr>
          <w:b/>
          <w:color w:val="000000"/>
          <w:shd w:val="clear" w:color="auto" w:fill="FFFFFF"/>
        </w:rPr>
        <w:t>in</w:t>
      </w:r>
      <w:r w:rsidR="00D962E3" w:rsidRPr="00547EA0">
        <w:rPr>
          <w:b/>
          <w:color w:val="000000"/>
          <w:shd w:val="clear" w:color="auto" w:fill="FFFFFF"/>
        </w:rPr>
        <w:t xml:space="preserve"> Debt Governance</w:t>
      </w:r>
      <w:r w:rsidR="00D962E3" w:rsidRPr="00547EA0">
        <w:rPr>
          <w:color w:val="000000"/>
          <w:shd w:val="clear" w:color="auto" w:fill="FFFFFF"/>
        </w:rPr>
        <w:t xml:space="preserve"> </w:t>
      </w:r>
    </w:p>
    <w:p w14:paraId="4E930C65" w14:textId="77777777" w:rsidR="00D962E3" w:rsidRPr="00547EA0" w:rsidRDefault="00D962E3" w:rsidP="00852BE9">
      <w:pPr>
        <w:spacing w:line="480" w:lineRule="auto"/>
      </w:pPr>
    </w:p>
    <w:p w14:paraId="3ED8B8E2" w14:textId="77777777" w:rsidR="00E21101" w:rsidRPr="00547EA0" w:rsidRDefault="00E67484" w:rsidP="00852BE9">
      <w:pPr>
        <w:spacing w:after="240" w:line="480" w:lineRule="auto"/>
        <w:jc w:val="both"/>
      </w:pPr>
      <w:r w:rsidRPr="00547EA0">
        <w:t xml:space="preserve">The trust deed is crucial in </w:t>
      </w:r>
      <w:r w:rsidR="00C10EA6" w:rsidRPr="00547EA0">
        <w:t>debt governance</w:t>
      </w:r>
      <w:r w:rsidRPr="00547EA0">
        <w:t xml:space="preserve"> because it allows debenture holders to secure their investment by transferring legal ownership to trustees who hold it on behalf of the beneficiary investors. Additionally, the trustee can retain control of the title deeds in the case of legal mortgages.</w:t>
      </w:r>
      <w:r w:rsidR="00C10EA6" w:rsidRPr="00547EA0">
        <w:rPr>
          <w:rStyle w:val="FootnoteReference"/>
        </w:rPr>
        <w:footnoteReference w:id="27"/>
      </w:r>
      <w:r w:rsidRPr="00547EA0">
        <w:t xml:space="preserve"> The execution of a debenture trust deed is necessary in a </w:t>
      </w:r>
      <w:r w:rsidR="00C10EA6" w:rsidRPr="00547EA0">
        <w:t xml:space="preserve">debt capital </w:t>
      </w:r>
      <w:r w:rsidRPr="00547EA0">
        <w:t>transaction when a firm sells debentures to the public for subscription or purchase. This is because the issuing of securities to the public requires the required execution of a trust deed. According to the Investment and Securities Act, if debenture securities are being offered, the invitation must include a trust deed as mandated by law.</w:t>
      </w:r>
      <w:r w:rsidR="00C10EA6" w:rsidRPr="00547EA0">
        <w:rPr>
          <w:rStyle w:val="FootnoteReference"/>
        </w:rPr>
        <w:footnoteReference w:id="28"/>
      </w:r>
      <w:r w:rsidRPr="00547EA0">
        <w:t xml:space="preserve"> </w:t>
      </w:r>
      <w:r w:rsidRPr="00C82904">
        <w:t>A debenture trust deed is limited to covering just one class of debentures.</w:t>
      </w:r>
      <w:r w:rsidR="00351B6D" w:rsidRPr="00C82904">
        <w:rPr>
          <w:rStyle w:val="FootnoteReference"/>
        </w:rPr>
        <w:footnoteReference w:id="29"/>
      </w:r>
      <w:r w:rsidRPr="00547EA0">
        <w:t xml:space="preserve"> If a trust deed is not executed when it should be, a debenture holder can apply to the court. Based on this application, the court can order the company to execute the trust deed</w:t>
      </w:r>
      <w:r w:rsidR="00351B6D" w:rsidRPr="00547EA0">
        <w:rPr>
          <w:rStyle w:val="FootnoteReference"/>
        </w:rPr>
        <w:footnoteReference w:id="30"/>
      </w:r>
      <w:r w:rsidRPr="00547EA0">
        <w:t>, appoint a trustee nominated by the court, and provide any necessary directions regarding the contents of the trust deed and its execution by the trustee.</w:t>
      </w:r>
      <w:r w:rsidR="00351B6D" w:rsidRPr="00547EA0">
        <w:rPr>
          <w:rStyle w:val="FootnoteReference"/>
        </w:rPr>
        <w:footnoteReference w:id="31"/>
      </w:r>
      <w:r w:rsidRPr="00547EA0">
        <w:t xml:space="preserve"> </w:t>
      </w:r>
    </w:p>
    <w:p w14:paraId="78C91DFB" w14:textId="7404DA22" w:rsidR="00E67484" w:rsidRPr="00547EA0" w:rsidRDefault="00E67484" w:rsidP="00852BE9">
      <w:pPr>
        <w:spacing w:after="240" w:line="480" w:lineRule="auto"/>
        <w:jc w:val="both"/>
      </w:pPr>
      <w:r w:rsidRPr="00547EA0">
        <w:br/>
        <w:t>A debenture will be secured by a trust deed in one of two situations: first, where the debenture holder has the right to receive a share of any funds that the firm is obligated to pay under the deed.</w:t>
      </w:r>
      <w:r w:rsidR="00AC6406" w:rsidRPr="00547EA0">
        <w:rPr>
          <w:rStyle w:val="FootnoteReference"/>
        </w:rPr>
        <w:footnoteReference w:id="32"/>
      </w:r>
      <w:r w:rsidRPr="00547EA0">
        <w:t xml:space="preserve"> or two; when the debenture holder has the right to receive the advantages of any mortgage, charge, or security established by the deed, either individually or in </w:t>
      </w:r>
      <w:r w:rsidR="00575989" w:rsidRPr="00547EA0">
        <w:t>conjunction</w:t>
      </w:r>
      <w:r w:rsidRPr="00547EA0">
        <w:t xml:space="preserve"> with others.</w:t>
      </w:r>
      <w:r w:rsidR="00BE7B99" w:rsidRPr="00547EA0">
        <w:rPr>
          <w:rStyle w:val="FootnoteReference"/>
        </w:rPr>
        <w:footnoteReference w:id="33"/>
      </w:r>
      <w:r w:rsidRPr="00547EA0">
        <w:t xml:space="preserve"> </w:t>
      </w:r>
    </w:p>
    <w:p w14:paraId="353B8F04" w14:textId="77777777" w:rsidR="00575989" w:rsidRPr="00547EA0" w:rsidRDefault="00575989" w:rsidP="00852BE9">
      <w:pPr>
        <w:spacing w:line="480" w:lineRule="auto"/>
        <w:jc w:val="both"/>
        <w:rPr>
          <w:bCs/>
        </w:rPr>
      </w:pPr>
    </w:p>
    <w:p w14:paraId="57705A49" w14:textId="77777777" w:rsidR="00547EA0" w:rsidRDefault="00547EA0" w:rsidP="00852BE9">
      <w:pPr>
        <w:spacing w:line="480" w:lineRule="auto"/>
        <w:rPr>
          <w:bCs/>
        </w:rPr>
      </w:pPr>
      <w:r>
        <w:rPr>
          <w:bCs/>
        </w:rPr>
        <w:br w:type="page"/>
      </w:r>
    </w:p>
    <w:p w14:paraId="3949F3C5" w14:textId="03409AF4" w:rsidR="00547EA0" w:rsidRPr="00547EA0" w:rsidRDefault="00547EA0" w:rsidP="00852BE9">
      <w:pPr>
        <w:spacing w:line="480" w:lineRule="auto"/>
        <w:jc w:val="center"/>
        <w:rPr>
          <w:b/>
          <w:bCs/>
        </w:rPr>
      </w:pPr>
      <w:r w:rsidRPr="00547EA0">
        <w:rPr>
          <w:b/>
          <w:bCs/>
        </w:rPr>
        <w:lastRenderedPageBreak/>
        <w:t>PART THREE</w:t>
      </w:r>
    </w:p>
    <w:p w14:paraId="044F12A8" w14:textId="68F96823" w:rsidR="00326CD2" w:rsidRPr="00547EA0" w:rsidRDefault="00547EA0" w:rsidP="00852BE9">
      <w:pPr>
        <w:spacing w:line="480" w:lineRule="auto"/>
        <w:jc w:val="center"/>
        <w:rPr>
          <w:b/>
          <w:color w:val="000000"/>
          <w:shd w:val="clear" w:color="auto" w:fill="FFFFFF"/>
        </w:rPr>
      </w:pPr>
      <w:r w:rsidRPr="00547EA0">
        <w:rPr>
          <w:b/>
        </w:rPr>
        <w:t xml:space="preserve">IMPLICATIONS FOR DEBT </w:t>
      </w:r>
      <w:r w:rsidRPr="00547EA0">
        <w:rPr>
          <w:b/>
          <w:color w:val="000000"/>
          <w:shd w:val="clear" w:color="auto" w:fill="FFFFFF"/>
        </w:rPr>
        <w:t>GOVERNANCE AND PRACTICE</w:t>
      </w:r>
    </w:p>
    <w:p w14:paraId="616C138C" w14:textId="77777777" w:rsidR="00575989" w:rsidRPr="00547EA0" w:rsidRDefault="00575989" w:rsidP="00852BE9">
      <w:pPr>
        <w:spacing w:line="480" w:lineRule="auto"/>
        <w:jc w:val="both"/>
        <w:rPr>
          <w:color w:val="000000"/>
          <w:shd w:val="clear" w:color="auto" w:fill="FFFFFF"/>
        </w:rPr>
      </w:pPr>
    </w:p>
    <w:p w14:paraId="2D361A65" w14:textId="73825300" w:rsidR="00C60BE1" w:rsidRPr="00547EA0" w:rsidRDefault="00C60BE1" w:rsidP="00852BE9">
      <w:pPr>
        <w:spacing w:line="480" w:lineRule="auto"/>
        <w:jc w:val="both"/>
        <w:rPr>
          <w:color w:val="000000"/>
          <w:shd w:val="clear" w:color="auto" w:fill="FFFFFF"/>
        </w:rPr>
      </w:pPr>
      <w:r w:rsidRPr="00547EA0">
        <w:rPr>
          <w:color w:val="000000"/>
          <w:shd w:val="clear" w:color="auto" w:fill="FFFFFF"/>
        </w:rPr>
        <w:t xml:space="preserve">Under this part of the paper, the mechanisms for the alignment of the interest of the </w:t>
      </w:r>
      <w:r w:rsidR="00575989" w:rsidRPr="00547EA0">
        <w:rPr>
          <w:color w:val="000000"/>
          <w:shd w:val="clear" w:color="auto" w:fill="FFFFFF"/>
        </w:rPr>
        <w:t>company</w:t>
      </w:r>
      <w:r w:rsidRPr="00547EA0">
        <w:rPr>
          <w:color w:val="000000"/>
          <w:shd w:val="clear" w:color="auto" w:fill="FFFFFF"/>
        </w:rPr>
        <w:t xml:space="preserve"> and </w:t>
      </w:r>
      <w:r w:rsidR="00575989" w:rsidRPr="00547EA0">
        <w:rPr>
          <w:color w:val="000000"/>
          <w:shd w:val="clear" w:color="auto" w:fill="FFFFFF"/>
        </w:rPr>
        <w:t>debenture holder</w:t>
      </w:r>
      <w:r w:rsidRPr="00547EA0">
        <w:rPr>
          <w:color w:val="000000"/>
          <w:shd w:val="clear" w:color="auto" w:fill="FFFFFF"/>
        </w:rPr>
        <w:t xml:space="preserve">s and how the provisions of the trust deed </w:t>
      </w:r>
      <w:r w:rsidR="00897C67" w:rsidRPr="00547EA0">
        <w:rPr>
          <w:color w:val="000000"/>
          <w:shd w:val="clear" w:color="auto" w:fill="FFFFFF"/>
        </w:rPr>
        <w:t>impact</w:t>
      </w:r>
      <w:r w:rsidRPr="00547EA0">
        <w:rPr>
          <w:color w:val="000000"/>
          <w:shd w:val="clear" w:color="auto" w:fill="FFFFFF"/>
        </w:rPr>
        <w:t xml:space="preserve"> </w:t>
      </w:r>
      <w:r w:rsidR="001F2BE7" w:rsidRPr="00547EA0">
        <w:rPr>
          <w:color w:val="000000"/>
          <w:shd w:val="clear" w:color="auto" w:fill="FFFFFF"/>
        </w:rPr>
        <w:t xml:space="preserve">the debenture holders’ rights and protection </w:t>
      </w:r>
      <w:r w:rsidRPr="00547EA0">
        <w:rPr>
          <w:color w:val="000000"/>
          <w:shd w:val="clear" w:color="auto" w:fill="FFFFFF"/>
        </w:rPr>
        <w:t xml:space="preserve">shall be discussed.   </w:t>
      </w:r>
    </w:p>
    <w:p w14:paraId="75EFE53D" w14:textId="77777777" w:rsidR="00C60BE1" w:rsidRPr="00547EA0" w:rsidRDefault="00C60BE1" w:rsidP="00852BE9">
      <w:pPr>
        <w:spacing w:line="480" w:lineRule="auto"/>
        <w:jc w:val="both"/>
        <w:rPr>
          <w:b/>
          <w:color w:val="000000"/>
          <w:shd w:val="clear" w:color="auto" w:fill="FFFFFF"/>
        </w:rPr>
      </w:pPr>
    </w:p>
    <w:p w14:paraId="688B6586" w14:textId="1EC30928" w:rsidR="00326CD2" w:rsidRPr="00547EA0" w:rsidRDefault="00326CD2" w:rsidP="00852BE9">
      <w:pPr>
        <w:spacing w:line="480" w:lineRule="auto"/>
        <w:jc w:val="both"/>
        <w:rPr>
          <w:bCs/>
        </w:rPr>
      </w:pPr>
      <w:r w:rsidRPr="00547EA0">
        <w:rPr>
          <w:bCs/>
        </w:rPr>
        <w:t xml:space="preserve">3.1 </w:t>
      </w:r>
      <w:r w:rsidRPr="00547EA0">
        <w:rPr>
          <w:b/>
          <w:color w:val="000000"/>
          <w:shd w:val="clear" w:color="auto" w:fill="FFFFFF"/>
        </w:rPr>
        <w:t>Mechanisms of Control and Oversight</w:t>
      </w:r>
      <w:r w:rsidRPr="00547EA0">
        <w:rPr>
          <w:b/>
          <w:bCs/>
        </w:rPr>
        <w:t xml:space="preserve"> </w:t>
      </w:r>
    </w:p>
    <w:p w14:paraId="12C54196" w14:textId="77777777" w:rsidR="00326CD2" w:rsidRPr="00547EA0" w:rsidRDefault="00326CD2" w:rsidP="00852BE9">
      <w:pPr>
        <w:spacing w:line="480" w:lineRule="auto"/>
        <w:jc w:val="both"/>
        <w:rPr>
          <w:bCs/>
        </w:rPr>
      </w:pPr>
      <w:r w:rsidRPr="00547EA0">
        <w:rPr>
          <w:bCs/>
        </w:rPr>
        <w:t xml:space="preserve">       </w:t>
      </w:r>
    </w:p>
    <w:p w14:paraId="50730562" w14:textId="39172F06" w:rsidR="002E49FF" w:rsidRPr="00547EA0" w:rsidRDefault="00897C67" w:rsidP="00852BE9">
      <w:pPr>
        <w:spacing w:line="480" w:lineRule="auto"/>
        <w:jc w:val="both"/>
      </w:pPr>
      <w:r w:rsidRPr="00547EA0">
        <w:rPr>
          <w:rFonts w:ascii="Tahoma" w:hAnsi="Tahoma" w:cs="Tahoma"/>
          <w:bCs/>
        </w:rPr>
        <w:t>﻿</w:t>
      </w:r>
      <w:r w:rsidR="002A0BE9" w:rsidRPr="00547EA0">
        <w:rPr>
          <w:bCs/>
        </w:rPr>
        <w:t xml:space="preserve">In ensuring that the interest of a debenture holder is adequately protected under a trust deed, certain mechanisms are indispensable in the enforcement of </w:t>
      </w:r>
      <w:r w:rsidR="005F44A6" w:rsidRPr="00547EA0">
        <w:rPr>
          <w:bCs/>
        </w:rPr>
        <w:t>the rights and powers in the trust deed</w:t>
      </w:r>
      <w:r w:rsidR="002A0BE9" w:rsidRPr="00547EA0">
        <w:rPr>
          <w:bCs/>
        </w:rPr>
        <w:t xml:space="preserve">.   </w:t>
      </w:r>
      <w:r w:rsidR="005F44A6" w:rsidRPr="00547EA0">
        <w:rPr>
          <w:bCs/>
        </w:rPr>
        <w:t xml:space="preserve">Some of these mechanisms of control and oversight of the trust deed are </w:t>
      </w:r>
      <w:r w:rsidR="00BE17C8" w:rsidRPr="00547EA0">
        <w:rPr>
          <w:bCs/>
        </w:rPr>
        <w:t>subsequently discussed</w:t>
      </w:r>
      <w:r w:rsidR="005F44A6" w:rsidRPr="00547EA0">
        <w:rPr>
          <w:bCs/>
        </w:rPr>
        <w:t xml:space="preserve">. </w:t>
      </w:r>
      <w:r w:rsidRPr="00547EA0">
        <w:rPr>
          <w:bCs/>
        </w:rPr>
        <w:t xml:space="preserve">Firstly, the </w:t>
      </w:r>
      <w:r w:rsidR="005F44A6" w:rsidRPr="00547EA0">
        <w:rPr>
          <w:bCs/>
        </w:rPr>
        <w:t>debenture trustee must, after default,</w:t>
      </w:r>
      <w:r w:rsidRPr="00547EA0">
        <w:rPr>
          <w:bCs/>
        </w:rPr>
        <w:t xml:space="preserve"> </w:t>
      </w:r>
      <w:r w:rsidR="00CA1243" w:rsidRPr="00547EA0">
        <w:rPr>
          <w:bCs/>
        </w:rPr>
        <w:t>safeguard the rights of the debenture holders and, on behalf of and for the benefit of the debenture holders, exercise the rights, powers and discretions conferred upon them by the trust deed.</w:t>
      </w:r>
      <w:r w:rsidR="00CA1243" w:rsidRPr="00547EA0">
        <w:rPr>
          <w:rStyle w:val="FootnoteReference"/>
          <w:bCs/>
        </w:rPr>
        <w:footnoteReference w:id="34"/>
      </w:r>
      <w:r w:rsidR="00CA1243" w:rsidRPr="00547EA0">
        <w:rPr>
          <w:bCs/>
        </w:rPr>
        <w:t xml:space="preserve"> However, to safeguard the debenture holders and ensure transparency and diligence on the part of the trustees, there is express prohibition of exemption clause exempting a trustee from, or indemnifying him against, liability for any breach of trust or failure to show the degree of care and diligence required of him as trustee having regard to the powers, authorities or discretions conferred on him by the trust deed.</w:t>
      </w:r>
      <w:r w:rsidR="005576DC" w:rsidRPr="00547EA0">
        <w:rPr>
          <w:rStyle w:val="FootnoteReference"/>
          <w:bCs/>
        </w:rPr>
        <w:footnoteReference w:id="35"/>
      </w:r>
      <w:r w:rsidR="00CC665E" w:rsidRPr="00547EA0">
        <w:rPr>
          <w:bCs/>
        </w:rPr>
        <w:t xml:space="preserve"> Secondly, </w:t>
      </w:r>
      <w:r w:rsidR="00272318" w:rsidRPr="00547EA0">
        <w:rPr>
          <w:bCs/>
        </w:rPr>
        <w:t xml:space="preserve">there is the </w:t>
      </w:r>
      <w:r w:rsidR="0044304F" w:rsidRPr="00547EA0">
        <w:rPr>
          <w:bCs/>
        </w:rPr>
        <w:t xml:space="preserve">mechanism of </w:t>
      </w:r>
      <w:r w:rsidR="00395CFA" w:rsidRPr="00547EA0">
        <w:rPr>
          <w:bCs/>
        </w:rPr>
        <w:t xml:space="preserve">negative </w:t>
      </w:r>
      <w:r w:rsidR="0044304F" w:rsidRPr="00547EA0">
        <w:rPr>
          <w:bCs/>
        </w:rPr>
        <w:t>covenants and restrictions</w:t>
      </w:r>
      <w:r w:rsidR="00F53A19" w:rsidRPr="00547EA0">
        <w:rPr>
          <w:rStyle w:val="FootnoteReference"/>
          <w:bCs/>
        </w:rPr>
        <w:footnoteReference w:id="36"/>
      </w:r>
      <w:r w:rsidR="0044304F" w:rsidRPr="00547EA0">
        <w:rPr>
          <w:bCs/>
        </w:rPr>
        <w:t xml:space="preserve"> embedded in the contract</w:t>
      </w:r>
      <w:r w:rsidR="00F53A19" w:rsidRPr="00547EA0">
        <w:rPr>
          <w:bCs/>
        </w:rPr>
        <w:t xml:space="preserve"> </w:t>
      </w:r>
      <w:r w:rsidR="0044304F" w:rsidRPr="00547EA0">
        <w:rPr>
          <w:bCs/>
        </w:rPr>
        <w:t xml:space="preserve">for the trust deed to </w:t>
      </w:r>
      <w:r w:rsidR="0044304F" w:rsidRPr="00547EA0">
        <w:rPr>
          <w:bCs/>
        </w:rPr>
        <w:lastRenderedPageBreak/>
        <w:t xml:space="preserve">curtail the </w:t>
      </w:r>
      <w:r w:rsidR="00395CFA" w:rsidRPr="00547EA0">
        <w:rPr>
          <w:bCs/>
        </w:rPr>
        <w:t xml:space="preserve">detrimental </w:t>
      </w:r>
      <w:r w:rsidR="0044304F" w:rsidRPr="00547EA0">
        <w:rPr>
          <w:bCs/>
        </w:rPr>
        <w:t xml:space="preserve">actions of </w:t>
      </w:r>
      <w:r w:rsidR="00395CFA" w:rsidRPr="00547EA0">
        <w:rPr>
          <w:bCs/>
        </w:rPr>
        <w:t>borrowing company</w:t>
      </w:r>
      <w:r w:rsidR="0044304F" w:rsidRPr="00547EA0">
        <w:rPr>
          <w:bCs/>
        </w:rPr>
        <w:t>.</w:t>
      </w:r>
      <w:r w:rsidR="00395CFA" w:rsidRPr="00547EA0">
        <w:t xml:space="preserve"> Debt covenants safeguard against the dilution of claims by controlling the acquisition of additional debt, permitting it only when justified by the financial state of the </w:t>
      </w:r>
      <w:r w:rsidR="00EB13EE" w:rsidRPr="00547EA0">
        <w:t xml:space="preserve">company. </w:t>
      </w:r>
      <w:r w:rsidR="002E49FF" w:rsidRPr="00547EA0">
        <w:t xml:space="preserve">On the other hand, a borrower who is in excellent health and has potential for expansion will face limitations because of the covenants. In practice, taking on more debt might provide the borrower more funds for worthwhile initiatives, which in turn can make current lenders feel more confident and secure. The covenants protect a wide range of human interests, and each class has the right to safeguard their own interests. Unsecured creditors may only seek repayment from the borrower's property that is not already pledged as collateral, meaning that any property that is already mortgaged, subject to a security interest, or has other liens cannot be used to satisfy their claims during the process of liquidation. Secured creditors have a higher priority in bankruptcy </w:t>
      </w:r>
      <w:r w:rsidR="00F105E3" w:rsidRPr="00547EA0">
        <w:t>reorganization</w:t>
      </w:r>
      <w:r w:rsidR="002E49FF" w:rsidRPr="00547EA0">
        <w:t xml:space="preserve">, based on the value of the property they have a lien on. </w:t>
      </w:r>
      <w:r w:rsidR="002E49FF" w:rsidRPr="000D70E7">
        <w:t>Consequently, contracts related to unsecured debt sometimes limit the ability to create new liens.</w:t>
      </w:r>
      <w:r w:rsidR="00673408" w:rsidRPr="000D70E7">
        <w:rPr>
          <w:rStyle w:val="FootnoteReference"/>
        </w:rPr>
        <w:footnoteReference w:id="37"/>
      </w:r>
      <w:r w:rsidR="00764F35" w:rsidRPr="000D70E7">
        <w:t xml:space="preserve"> Finally,</w:t>
      </w:r>
      <w:r w:rsidR="00E82C16" w:rsidRPr="000D70E7">
        <w:t xml:space="preserve"> there is the event-risk covenants which is a contractual protection that is triggered when there is a leveraged </w:t>
      </w:r>
      <w:r w:rsidR="0039148F" w:rsidRPr="000D70E7">
        <w:t>buyout</w:t>
      </w:r>
      <w:r w:rsidR="00E82C16" w:rsidRPr="000D70E7">
        <w:t xml:space="preserve"> </w:t>
      </w:r>
      <w:r w:rsidR="0039148F" w:rsidRPr="000D70E7">
        <w:t xml:space="preserve">of the borrowing company, </w:t>
      </w:r>
      <w:r w:rsidR="00E82C16" w:rsidRPr="000D70E7">
        <w:t xml:space="preserve">which alters </w:t>
      </w:r>
      <w:r w:rsidR="0039148F" w:rsidRPr="000D70E7">
        <w:t>the structure of its corporate control.</w:t>
      </w:r>
      <w:r w:rsidR="00037EEF" w:rsidRPr="000D70E7">
        <w:t xml:space="preserve"> </w:t>
      </w:r>
      <w:r w:rsidR="00C40A8A" w:rsidRPr="000D70E7">
        <w:t>Support</w:t>
      </w:r>
      <w:r w:rsidR="00C40A8A" w:rsidRPr="00547EA0">
        <w:t xml:space="preserve"> for the proposition that leveraged buyouts have a detrimental effect on bond values have been from recent studies which demonstrate that on average, debenture holders sustain wealth depreciations from </w:t>
      </w:r>
      <w:r w:rsidR="00231ECA" w:rsidRPr="00547EA0">
        <w:t>these sorts of transactions</w:t>
      </w:r>
      <w:r w:rsidR="00C40A8A" w:rsidRPr="00547EA0">
        <w:t>.</w:t>
      </w:r>
      <w:r w:rsidR="00C40A8A" w:rsidRPr="00547EA0">
        <w:rPr>
          <w:rStyle w:val="FootnoteReference"/>
        </w:rPr>
        <w:footnoteReference w:id="38"/>
      </w:r>
      <w:r w:rsidR="00C40A8A" w:rsidRPr="00547EA0">
        <w:t xml:space="preserve">  </w:t>
      </w:r>
      <w:r w:rsidR="00231ECA" w:rsidRPr="00547EA0">
        <w:t xml:space="preserve">Losses sustained by debenture holders </w:t>
      </w:r>
      <w:r w:rsidR="00A10A12" w:rsidRPr="00547EA0">
        <w:t xml:space="preserve">in leveraged buyouts have led to significant amount of litigation challenging the transactions on a number of grounds, including misrepresentation, failure to disclose to debenture holders before these transactions, and fraudulent conveyance. This has led to dispute stemming from the clamor </w:t>
      </w:r>
      <w:r w:rsidR="00822C1A" w:rsidRPr="00547EA0">
        <w:lastRenderedPageBreak/>
        <w:t>for</w:t>
      </w:r>
      <w:r w:rsidR="00A10A12" w:rsidRPr="00547EA0">
        <w:t xml:space="preserve"> corporate managers </w:t>
      </w:r>
      <w:r w:rsidR="00822C1A" w:rsidRPr="00547EA0">
        <w:t>to extend a</w:t>
      </w:r>
      <w:r w:rsidR="00A10A12" w:rsidRPr="00547EA0">
        <w:t xml:space="preserve"> fiduciary duty to debenture holders and that they are in breach of such duty if debenture prices plummet in the wake of leveraged buyout transactions. </w:t>
      </w:r>
      <w:r w:rsidR="00037EEF" w:rsidRPr="00547EA0">
        <w:t xml:space="preserve">However, </w:t>
      </w:r>
      <w:r w:rsidR="00B8786B" w:rsidRPr="00547EA0">
        <w:t>current case law provides little support for</w:t>
      </w:r>
      <w:r w:rsidR="00F974A9" w:rsidRPr="00547EA0">
        <w:t xml:space="preserve"> the notion that </w:t>
      </w:r>
      <w:r w:rsidR="00C122DD" w:rsidRPr="00547EA0">
        <w:t xml:space="preserve">a fiduciary relationship exists between </w:t>
      </w:r>
      <w:r w:rsidR="0085597F" w:rsidRPr="00547EA0">
        <w:t xml:space="preserve">borrowing companies and debenture holders. In </w:t>
      </w:r>
      <w:r w:rsidR="0085597F" w:rsidRPr="00547EA0">
        <w:rPr>
          <w:i/>
        </w:rPr>
        <w:t>Metropolitan Life Insurance Co. v. RJR Nabisco, Inc</w:t>
      </w:r>
      <w:r w:rsidR="0085597F" w:rsidRPr="00547EA0">
        <w:t>.,</w:t>
      </w:r>
      <w:r w:rsidR="0085597F" w:rsidRPr="00547EA0">
        <w:rPr>
          <w:rStyle w:val="FootnoteReference"/>
        </w:rPr>
        <w:footnoteReference w:id="39"/>
      </w:r>
      <w:r w:rsidR="0085597F" w:rsidRPr="00547EA0">
        <w:t xml:space="preserve"> </w:t>
      </w:r>
      <w:r w:rsidR="009B3320" w:rsidRPr="00547EA0">
        <w:t xml:space="preserve">the U.S. District Court for Southern New York decided that no covenant of good faith and fair dealing will be implied to </w:t>
      </w:r>
      <w:r w:rsidR="00514017" w:rsidRPr="00547EA0">
        <w:t>enjoin</w:t>
      </w:r>
      <w:r w:rsidR="009B3320" w:rsidRPr="00547EA0">
        <w:t xml:space="preserve"> a company from issuing new debt in the absence of any express covenant restricting such issuance in a prior debt agreement with debenture holders. In response to an argument by plaintiffs that RJR Nabisco violated an implied covenant of good faith and fair dealing by </w:t>
      </w:r>
      <w:r w:rsidR="00514017" w:rsidRPr="00547EA0">
        <w:t>entering into a leveraged buyout transaction, the court held as follows:</w:t>
      </w:r>
    </w:p>
    <w:p w14:paraId="0C6A98B4" w14:textId="16005053" w:rsidR="00514017" w:rsidRPr="00547EA0" w:rsidRDefault="008C1BFD" w:rsidP="00852BE9">
      <w:pPr>
        <w:spacing w:line="480" w:lineRule="auto"/>
        <w:ind w:left="1080" w:right="1080"/>
        <w:jc w:val="both"/>
      </w:pPr>
      <w:r w:rsidRPr="00547EA0">
        <w:t>“</w:t>
      </w:r>
      <w:proofErr w:type="gramStart"/>
      <w:r w:rsidR="00514017" w:rsidRPr="00547EA0">
        <w:rPr>
          <w:i/>
        </w:rPr>
        <w:t>there</w:t>
      </w:r>
      <w:proofErr w:type="gramEnd"/>
      <w:r w:rsidR="00514017" w:rsidRPr="00547EA0">
        <w:rPr>
          <w:i/>
        </w:rPr>
        <w:t xml:space="preserve"> being no express covenant between the parties that would restrict the incurrence of new debt and no perceived direction to that end from </w:t>
      </w:r>
      <w:r w:rsidRPr="00547EA0">
        <w:rPr>
          <w:i/>
        </w:rPr>
        <w:t>covenants that</w:t>
      </w:r>
      <w:r w:rsidR="00514017" w:rsidRPr="00547EA0">
        <w:rPr>
          <w:i/>
        </w:rPr>
        <w:t xml:space="preserve"> are express, this court will not imply a covenant to prevent the recent LBO and thereby create an indenture term that </w:t>
      </w:r>
      <w:r w:rsidR="009D32E8" w:rsidRPr="00547EA0">
        <w:rPr>
          <w:i/>
        </w:rPr>
        <w:t>…...</w:t>
      </w:r>
      <w:r w:rsidR="00514017" w:rsidRPr="00547EA0">
        <w:rPr>
          <w:i/>
        </w:rPr>
        <w:t xml:space="preserve"> was not bargained for here and </w:t>
      </w:r>
      <w:r w:rsidRPr="00547EA0">
        <w:rPr>
          <w:i/>
        </w:rPr>
        <w:t>was not even within the mutual contemplation of the parties ……. [The Court] stands ready to employ an implied covenant of good faith to ensure that</w:t>
      </w:r>
      <w:r w:rsidR="001F2BE7" w:rsidRPr="00547EA0">
        <w:rPr>
          <w:i/>
        </w:rPr>
        <w:t>…...</w:t>
      </w:r>
      <w:r w:rsidRPr="00547EA0">
        <w:rPr>
          <w:i/>
        </w:rPr>
        <w:t xml:space="preserve">bargained-for rights are </w:t>
      </w:r>
      <w:r w:rsidR="00186E15" w:rsidRPr="00547EA0">
        <w:rPr>
          <w:i/>
        </w:rPr>
        <w:t>performed. [</w:t>
      </w:r>
      <w:proofErr w:type="gramStart"/>
      <w:r w:rsidR="00186E15" w:rsidRPr="00547EA0">
        <w:rPr>
          <w:i/>
        </w:rPr>
        <w:t>However</w:t>
      </w:r>
      <w:proofErr w:type="gramEnd"/>
      <w:r w:rsidRPr="00547EA0">
        <w:rPr>
          <w:i/>
        </w:rPr>
        <w:t xml:space="preserve"> it] will not …. permit an implied covenant to shoehorn into an indenture additional terms plaintiff now wish had been included</w:t>
      </w:r>
      <w:r w:rsidRPr="00547EA0">
        <w:t xml:space="preserve">.”  </w:t>
      </w:r>
      <w:r w:rsidR="00514017" w:rsidRPr="00547EA0">
        <w:t xml:space="preserve">  </w:t>
      </w:r>
    </w:p>
    <w:p w14:paraId="7ADF66EF" w14:textId="7078416E" w:rsidR="00CA1243" w:rsidRPr="00547EA0" w:rsidRDefault="00CA1243" w:rsidP="00852BE9">
      <w:pPr>
        <w:spacing w:line="480" w:lineRule="auto"/>
        <w:jc w:val="both"/>
        <w:rPr>
          <w:bCs/>
        </w:rPr>
      </w:pPr>
    </w:p>
    <w:p w14:paraId="45EE0D1C" w14:textId="34A1A6B9" w:rsidR="00CA1243" w:rsidRPr="00547EA0" w:rsidRDefault="001F2BE7" w:rsidP="00852BE9">
      <w:pPr>
        <w:spacing w:line="480" w:lineRule="auto"/>
        <w:jc w:val="both"/>
        <w:rPr>
          <w:bCs/>
        </w:rPr>
      </w:pPr>
      <w:r w:rsidRPr="00547EA0">
        <w:rPr>
          <w:bCs/>
        </w:rPr>
        <w:t xml:space="preserve">The court’s holding </w:t>
      </w:r>
      <w:r w:rsidR="00D219BF" w:rsidRPr="00547EA0">
        <w:rPr>
          <w:bCs/>
        </w:rPr>
        <w:t xml:space="preserve">in </w:t>
      </w:r>
      <w:r w:rsidR="00335A6C" w:rsidRPr="00547EA0">
        <w:rPr>
          <w:bCs/>
          <w:i/>
        </w:rPr>
        <w:t>Metropolitan Life</w:t>
      </w:r>
      <w:r w:rsidR="00D219BF" w:rsidRPr="00547EA0">
        <w:rPr>
          <w:bCs/>
          <w:i/>
        </w:rPr>
        <w:t xml:space="preserve"> </w:t>
      </w:r>
      <w:r w:rsidR="00D219BF" w:rsidRPr="00547EA0">
        <w:rPr>
          <w:bCs/>
        </w:rPr>
        <w:t xml:space="preserve">is significant and </w:t>
      </w:r>
      <w:r w:rsidR="00D219BF" w:rsidRPr="00547EA0">
        <w:rPr>
          <w:color w:val="222222"/>
        </w:rPr>
        <w:t xml:space="preserve">reflects a broader tension in debt governance between express contractual covenants and </w:t>
      </w:r>
      <w:r w:rsidR="00DE38BF" w:rsidRPr="00547EA0">
        <w:rPr>
          <w:color w:val="222222"/>
        </w:rPr>
        <w:t xml:space="preserve">assumed </w:t>
      </w:r>
      <w:r w:rsidR="00335A6C" w:rsidRPr="00547EA0">
        <w:rPr>
          <w:color w:val="222222"/>
        </w:rPr>
        <w:t xml:space="preserve">fiduciary </w:t>
      </w:r>
      <w:r w:rsidR="00DE38BF" w:rsidRPr="00547EA0">
        <w:rPr>
          <w:color w:val="222222"/>
        </w:rPr>
        <w:t>protection</w:t>
      </w:r>
      <w:r w:rsidR="00335A6C" w:rsidRPr="00547EA0">
        <w:rPr>
          <w:color w:val="222222"/>
        </w:rPr>
        <w:t>s</w:t>
      </w:r>
      <w:r w:rsidR="00DE38BF" w:rsidRPr="00547EA0">
        <w:rPr>
          <w:color w:val="222222"/>
        </w:rPr>
        <w:t xml:space="preserve"> </w:t>
      </w:r>
      <w:r w:rsidR="007E62D2" w:rsidRPr="00547EA0">
        <w:rPr>
          <w:color w:val="222222"/>
        </w:rPr>
        <w:t>under equity</w:t>
      </w:r>
      <w:r w:rsidR="00D219BF" w:rsidRPr="00547EA0">
        <w:rPr>
          <w:color w:val="222222"/>
        </w:rPr>
        <w:t xml:space="preserve"> by debenture holders </w:t>
      </w:r>
      <w:r w:rsidR="00DE38BF" w:rsidRPr="00547EA0">
        <w:rPr>
          <w:color w:val="222222"/>
        </w:rPr>
        <w:t xml:space="preserve">when they </w:t>
      </w:r>
      <w:r w:rsidR="00D219BF" w:rsidRPr="00547EA0">
        <w:rPr>
          <w:color w:val="222222"/>
        </w:rPr>
        <w:t>in</w:t>
      </w:r>
      <w:r w:rsidR="00DE38BF" w:rsidRPr="00547EA0">
        <w:rPr>
          <w:color w:val="222222"/>
        </w:rPr>
        <w:t>tersect with</w:t>
      </w:r>
      <w:r w:rsidR="00D219BF" w:rsidRPr="00547EA0">
        <w:rPr>
          <w:color w:val="222222"/>
        </w:rPr>
        <w:t xml:space="preserve"> the </w:t>
      </w:r>
      <w:r w:rsidR="00860631" w:rsidRPr="00547EA0">
        <w:rPr>
          <w:color w:val="222222"/>
        </w:rPr>
        <w:t>often-</w:t>
      </w:r>
      <w:r w:rsidR="007E62D2" w:rsidRPr="00547EA0">
        <w:rPr>
          <w:color w:val="222222"/>
        </w:rPr>
        <w:t>flexible</w:t>
      </w:r>
      <w:r w:rsidR="00D219BF" w:rsidRPr="00547EA0">
        <w:rPr>
          <w:color w:val="222222"/>
        </w:rPr>
        <w:t xml:space="preserve"> </w:t>
      </w:r>
      <w:r w:rsidR="00DE38BF" w:rsidRPr="00547EA0">
        <w:rPr>
          <w:color w:val="222222"/>
        </w:rPr>
        <w:t xml:space="preserve">nature of </w:t>
      </w:r>
      <w:r w:rsidR="00D219BF" w:rsidRPr="00547EA0">
        <w:rPr>
          <w:color w:val="222222"/>
        </w:rPr>
        <w:t xml:space="preserve">financial markets. </w:t>
      </w:r>
      <w:r w:rsidR="00860631" w:rsidRPr="00547EA0">
        <w:rPr>
          <w:bCs/>
        </w:rPr>
        <w:t xml:space="preserve">This </w:t>
      </w:r>
      <w:r w:rsidR="00860631" w:rsidRPr="00547EA0">
        <w:rPr>
          <w:bCs/>
        </w:rPr>
        <w:lastRenderedPageBreak/>
        <w:t xml:space="preserve">nuance in contractual provisions in debt agreements highlights the need for dexterity and industry by trustees and debenture attorneys alike in drafting contracts that give substantive rights and </w:t>
      </w:r>
      <w:r w:rsidR="00335A6C" w:rsidRPr="00547EA0">
        <w:rPr>
          <w:bCs/>
        </w:rPr>
        <w:t xml:space="preserve">better </w:t>
      </w:r>
      <w:r w:rsidR="00860631" w:rsidRPr="00547EA0">
        <w:rPr>
          <w:bCs/>
        </w:rPr>
        <w:t xml:space="preserve">protection to debenture holders.  </w:t>
      </w:r>
    </w:p>
    <w:p w14:paraId="021BE32F" w14:textId="77777777" w:rsidR="00143469" w:rsidRPr="00547EA0" w:rsidRDefault="00143469" w:rsidP="00852BE9">
      <w:pPr>
        <w:spacing w:line="480" w:lineRule="auto"/>
        <w:jc w:val="both"/>
        <w:rPr>
          <w:bCs/>
        </w:rPr>
      </w:pPr>
    </w:p>
    <w:p w14:paraId="46C2A780" w14:textId="2FAFB0BC" w:rsidR="00326CD2" w:rsidRPr="00547EA0" w:rsidRDefault="00326CD2" w:rsidP="00852BE9">
      <w:pPr>
        <w:spacing w:line="480" w:lineRule="auto"/>
        <w:jc w:val="both"/>
        <w:rPr>
          <w:bCs/>
        </w:rPr>
      </w:pPr>
      <w:r w:rsidRPr="00547EA0">
        <w:rPr>
          <w:bCs/>
        </w:rPr>
        <w:t xml:space="preserve">3.2 </w:t>
      </w:r>
      <w:r w:rsidRPr="00547EA0">
        <w:rPr>
          <w:b/>
          <w:color w:val="000000"/>
          <w:shd w:val="clear" w:color="auto" w:fill="FFFFFF"/>
        </w:rPr>
        <w:t>How Trust Deeds Enhance Creditor Protection</w:t>
      </w:r>
      <w:r w:rsidRPr="00547EA0">
        <w:rPr>
          <w:bCs/>
        </w:rPr>
        <w:t xml:space="preserve"> </w:t>
      </w:r>
    </w:p>
    <w:p w14:paraId="2DB933C0" w14:textId="7EC17F5D" w:rsidR="00326CD2" w:rsidRPr="00547EA0" w:rsidRDefault="00943073" w:rsidP="00852BE9">
      <w:pPr>
        <w:spacing w:line="480" w:lineRule="auto"/>
        <w:jc w:val="both"/>
        <w:rPr>
          <w:bCs/>
        </w:rPr>
      </w:pPr>
      <w:r w:rsidRPr="00547EA0">
        <w:rPr>
          <w:rFonts w:ascii="Tahoma" w:hAnsi="Tahoma" w:cs="Tahoma"/>
          <w:bCs/>
        </w:rPr>
        <w:t>﻿</w:t>
      </w:r>
      <w:r w:rsidR="00B4426D" w:rsidRPr="00547EA0">
        <w:rPr>
          <w:bCs/>
        </w:rPr>
        <w:t>The t</w:t>
      </w:r>
      <w:r w:rsidR="001A383D" w:rsidRPr="00547EA0">
        <w:rPr>
          <w:bCs/>
        </w:rPr>
        <w:t>rust deed</w:t>
      </w:r>
      <w:r w:rsidRPr="00547EA0">
        <w:rPr>
          <w:bCs/>
        </w:rPr>
        <w:t xml:space="preserve"> </w:t>
      </w:r>
      <w:r w:rsidR="001A383D" w:rsidRPr="00547EA0">
        <w:rPr>
          <w:bCs/>
        </w:rPr>
        <w:t>enhance</w:t>
      </w:r>
      <w:r w:rsidR="00B4426D" w:rsidRPr="00547EA0">
        <w:rPr>
          <w:bCs/>
        </w:rPr>
        <w:t>s</w:t>
      </w:r>
      <w:r w:rsidR="001A383D" w:rsidRPr="00547EA0">
        <w:rPr>
          <w:bCs/>
        </w:rPr>
        <w:t xml:space="preserve"> creditor </w:t>
      </w:r>
      <w:r w:rsidR="00B4426D" w:rsidRPr="00547EA0">
        <w:rPr>
          <w:bCs/>
        </w:rPr>
        <w:t xml:space="preserve">protection </w:t>
      </w:r>
      <w:r w:rsidR="00143469" w:rsidRPr="00547EA0">
        <w:rPr>
          <w:bCs/>
        </w:rPr>
        <w:t>through</w:t>
      </w:r>
      <w:r w:rsidR="00DF53FC" w:rsidRPr="00547EA0">
        <w:rPr>
          <w:bCs/>
        </w:rPr>
        <w:t xml:space="preserve"> investment covenants that restr</w:t>
      </w:r>
      <w:r w:rsidR="00B4426D" w:rsidRPr="00547EA0">
        <w:rPr>
          <w:bCs/>
        </w:rPr>
        <w:t>ains</w:t>
      </w:r>
      <w:r w:rsidR="00DF53FC" w:rsidRPr="00547EA0">
        <w:rPr>
          <w:bCs/>
        </w:rPr>
        <w:t xml:space="preserve"> </w:t>
      </w:r>
      <w:r w:rsidR="00B4426D" w:rsidRPr="00547EA0">
        <w:rPr>
          <w:bCs/>
        </w:rPr>
        <w:t>the managerial discretion to pursue a wealth maximizing strategy for the company.</w:t>
      </w:r>
      <w:r w:rsidR="003A23C8" w:rsidRPr="00547EA0">
        <w:rPr>
          <w:bCs/>
        </w:rPr>
        <w:t xml:space="preserve"> In their article,</w:t>
      </w:r>
      <w:r w:rsidR="00B4426D" w:rsidRPr="00547EA0">
        <w:rPr>
          <w:bCs/>
        </w:rPr>
        <w:t xml:space="preserve"> Smith and Warner</w:t>
      </w:r>
      <w:r w:rsidR="00B4426D" w:rsidRPr="00547EA0">
        <w:rPr>
          <w:rStyle w:val="FootnoteReference"/>
          <w:bCs/>
        </w:rPr>
        <w:footnoteReference w:id="40"/>
      </w:r>
      <w:r w:rsidR="00B4426D" w:rsidRPr="00547EA0">
        <w:rPr>
          <w:bCs/>
        </w:rPr>
        <w:t xml:space="preserve"> </w:t>
      </w:r>
      <w:r w:rsidR="003A23C8" w:rsidRPr="00547EA0">
        <w:rPr>
          <w:bCs/>
        </w:rPr>
        <w:t>analyzed</w:t>
      </w:r>
      <w:r w:rsidR="003258F4" w:rsidRPr="00547EA0">
        <w:rPr>
          <w:bCs/>
        </w:rPr>
        <w:t xml:space="preserve"> </w:t>
      </w:r>
      <w:r w:rsidR="00B4426D" w:rsidRPr="00547EA0">
        <w:rPr>
          <w:bCs/>
        </w:rPr>
        <w:t xml:space="preserve">how trust deed covenants can be used to restrict a debenture issuer’s investment policy, dividends payment, and subsequent </w:t>
      </w:r>
      <w:r w:rsidR="00DA7A32" w:rsidRPr="00547EA0">
        <w:rPr>
          <w:bCs/>
        </w:rPr>
        <w:t>debt issuance</w:t>
      </w:r>
      <w:r w:rsidR="00B4426D" w:rsidRPr="00547EA0">
        <w:rPr>
          <w:bCs/>
        </w:rPr>
        <w:t xml:space="preserve"> policy. </w:t>
      </w:r>
      <w:r w:rsidR="003258F4" w:rsidRPr="00547EA0">
        <w:rPr>
          <w:bCs/>
        </w:rPr>
        <w:t xml:space="preserve">First, the covenants on the debt issuer’s investment policy </w:t>
      </w:r>
      <w:proofErr w:type="gramStart"/>
      <w:r w:rsidR="003258F4" w:rsidRPr="00547EA0">
        <w:rPr>
          <w:bCs/>
        </w:rPr>
        <w:t>is</w:t>
      </w:r>
      <w:proofErr w:type="gramEnd"/>
      <w:r w:rsidR="003258F4" w:rsidRPr="00547EA0">
        <w:rPr>
          <w:bCs/>
        </w:rPr>
        <w:t xml:space="preserve"> used to restrict the sort of projects which a company can engage, which </w:t>
      </w:r>
      <w:r w:rsidR="00101FD3" w:rsidRPr="00547EA0">
        <w:rPr>
          <w:bCs/>
        </w:rPr>
        <w:t>significantly reduces the likelihood of asset substitution</w:t>
      </w:r>
      <w:r w:rsidR="003258F4" w:rsidRPr="00547EA0">
        <w:rPr>
          <w:bCs/>
        </w:rPr>
        <w:t xml:space="preserve">. </w:t>
      </w:r>
      <w:r w:rsidR="00101FD3" w:rsidRPr="00547EA0">
        <w:rPr>
          <w:bCs/>
        </w:rPr>
        <w:t>Nonetheless, u</w:t>
      </w:r>
      <w:r w:rsidR="00663380" w:rsidRPr="00547EA0">
        <w:rPr>
          <w:bCs/>
        </w:rPr>
        <w:t>nduly stringent covenants on an issuing company</w:t>
      </w:r>
      <w:r w:rsidR="00B67F27" w:rsidRPr="00547EA0">
        <w:rPr>
          <w:bCs/>
        </w:rPr>
        <w:t>’s</w:t>
      </w:r>
      <w:r w:rsidR="00663380" w:rsidRPr="00547EA0">
        <w:rPr>
          <w:bCs/>
        </w:rPr>
        <w:t xml:space="preserve"> investment policy can be expensive to monitor and enforce due to the costs </w:t>
      </w:r>
      <w:r w:rsidR="00B67F27" w:rsidRPr="00547EA0">
        <w:rPr>
          <w:bCs/>
        </w:rPr>
        <w:t>(</w:t>
      </w:r>
      <w:r w:rsidR="00B67F27" w:rsidRPr="00547EA0">
        <w:rPr>
          <w:bCs/>
          <w:i/>
        </w:rPr>
        <w:t>e.g.,</w:t>
      </w:r>
      <w:r w:rsidR="00B67F27" w:rsidRPr="00547EA0">
        <w:rPr>
          <w:bCs/>
        </w:rPr>
        <w:t xml:space="preserve"> legal </w:t>
      </w:r>
      <w:r w:rsidR="0045512A" w:rsidRPr="00547EA0">
        <w:rPr>
          <w:bCs/>
        </w:rPr>
        <w:t>costs) involved</w:t>
      </w:r>
      <w:r w:rsidR="00663380" w:rsidRPr="00547EA0">
        <w:rPr>
          <w:bCs/>
        </w:rPr>
        <w:t xml:space="preserve">. Secondly, trust deeds </w:t>
      </w:r>
      <w:r w:rsidR="00D703D9" w:rsidRPr="00547EA0">
        <w:rPr>
          <w:bCs/>
        </w:rPr>
        <w:t>advances</w:t>
      </w:r>
      <w:r w:rsidR="00663380" w:rsidRPr="00547EA0">
        <w:rPr>
          <w:bCs/>
        </w:rPr>
        <w:t xml:space="preserve"> creditor protection through </w:t>
      </w:r>
      <w:r w:rsidR="00D703D9" w:rsidRPr="00547EA0">
        <w:rPr>
          <w:bCs/>
        </w:rPr>
        <w:t xml:space="preserve">covenants that restrict the debt issuer’s dividend payments to its shareholders. </w:t>
      </w:r>
      <w:r w:rsidR="00663380" w:rsidRPr="00547EA0">
        <w:rPr>
          <w:bCs/>
        </w:rPr>
        <w:t xml:space="preserve"> </w:t>
      </w:r>
      <w:r w:rsidR="00D703D9" w:rsidRPr="00547EA0">
        <w:rPr>
          <w:bCs/>
        </w:rPr>
        <w:t xml:space="preserve">If the cash dividends paid to the debt issuer’s shareholders are financed by a reduction in investment, the value of the issued debentures will </w:t>
      </w:r>
      <w:r w:rsidR="00913A41" w:rsidRPr="00547EA0">
        <w:rPr>
          <w:bCs/>
        </w:rPr>
        <w:t xml:space="preserve">be reduced through a dilution of the </w:t>
      </w:r>
      <w:r w:rsidR="00293E73" w:rsidRPr="00547EA0">
        <w:rPr>
          <w:bCs/>
        </w:rPr>
        <w:t>expected v</w:t>
      </w:r>
      <w:r w:rsidR="00913A41" w:rsidRPr="00547EA0">
        <w:rPr>
          <w:bCs/>
        </w:rPr>
        <w:t xml:space="preserve">alue of the debt issuer’s assets before the </w:t>
      </w:r>
      <w:r w:rsidR="00293E73" w:rsidRPr="00547EA0">
        <w:rPr>
          <w:bCs/>
        </w:rPr>
        <w:t>debentures’ maturity date, thus increasing the likelihood of default</w:t>
      </w:r>
      <w:r w:rsidR="00C5522D" w:rsidRPr="00547EA0">
        <w:rPr>
          <w:bCs/>
        </w:rPr>
        <w:t>.</w:t>
      </w:r>
      <w:r w:rsidR="00D703D9" w:rsidRPr="00547EA0">
        <w:rPr>
          <w:rStyle w:val="FootnoteReference"/>
          <w:bCs/>
        </w:rPr>
        <w:footnoteReference w:id="41"/>
      </w:r>
      <w:r w:rsidR="00D703D9" w:rsidRPr="00547EA0">
        <w:rPr>
          <w:bCs/>
        </w:rPr>
        <w:t xml:space="preserve">  </w:t>
      </w:r>
      <w:r w:rsidR="00C5522D" w:rsidRPr="00547EA0">
        <w:rPr>
          <w:bCs/>
        </w:rPr>
        <w:t xml:space="preserve">In addition, the covenants in a trust deed can constrain </w:t>
      </w:r>
      <w:r w:rsidR="00B31C61" w:rsidRPr="00547EA0">
        <w:rPr>
          <w:bCs/>
        </w:rPr>
        <w:t xml:space="preserve">the </w:t>
      </w:r>
      <w:r w:rsidR="00B679AD" w:rsidRPr="00547EA0">
        <w:rPr>
          <w:bCs/>
        </w:rPr>
        <w:t xml:space="preserve">issuer from repurchasing its own stock from the market which </w:t>
      </w:r>
      <w:r w:rsidR="00B679AD" w:rsidRPr="00547EA0">
        <w:t>decreases it</w:t>
      </w:r>
      <w:r w:rsidR="004B1BE9" w:rsidRPr="00547EA0">
        <w:t>s coverage on the debt</w:t>
      </w:r>
      <w:r w:rsidR="00AB5A13" w:rsidRPr="00547EA0">
        <w:t>.</w:t>
      </w:r>
      <w:r w:rsidR="00AB5A13" w:rsidRPr="00547EA0">
        <w:rPr>
          <w:rStyle w:val="FootnoteReference"/>
        </w:rPr>
        <w:footnoteReference w:id="42"/>
      </w:r>
      <w:r w:rsidR="00AB5A13" w:rsidRPr="00547EA0">
        <w:t xml:space="preserve"> The coverage on the debt is the </w:t>
      </w:r>
      <w:r w:rsidR="00B679AD" w:rsidRPr="00547EA0">
        <w:t>safety net that shows how easily the company can pay off its debt with the money it has.</w:t>
      </w:r>
      <w:r w:rsidR="00C5522D" w:rsidRPr="00547EA0">
        <w:rPr>
          <w:bCs/>
        </w:rPr>
        <w:t xml:space="preserve"> </w:t>
      </w:r>
      <w:r w:rsidR="00143469" w:rsidRPr="00547EA0">
        <w:rPr>
          <w:rFonts w:ascii="Tahoma" w:hAnsi="Tahoma" w:cs="Tahoma"/>
          <w:bCs/>
        </w:rPr>
        <w:t>﻿</w:t>
      </w:r>
      <w:r w:rsidR="00143469" w:rsidRPr="00547EA0">
        <w:rPr>
          <w:bCs/>
        </w:rPr>
        <w:t>The dividend covenant acts as a restriction not on dividends</w:t>
      </w:r>
      <w:r w:rsidR="003A23C8" w:rsidRPr="00547EA0">
        <w:rPr>
          <w:bCs/>
        </w:rPr>
        <w:t xml:space="preserve"> </w:t>
      </w:r>
      <w:r w:rsidR="00143469" w:rsidRPr="00547EA0">
        <w:rPr>
          <w:bCs/>
          <w:i/>
        </w:rPr>
        <w:t>per se</w:t>
      </w:r>
      <w:r w:rsidR="00143469" w:rsidRPr="00547EA0">
        <w:rPr>
          <w:bCs/>
        </w:rPr>
        <w:t xml:space="preserve">, but on the payment of </w:t>
      </w:r>
      <w:r w:rsidR="00143469" w:rsidRPr="00547EA0">
        <w:rPr>
          <w:bCs/>
        </w:rPr>
        <w:lastRenderedPageBreak/>
        <w:t xml:space="preserve">dividends financed by issuing debt or by the sale of the firm’s existing assets, either of which would reduce the coverage on, and thus the value of, the debt. Finally, </w:t>
      </w:r>
      <w:r w:rsidR="00E25F6E" w:rsidRPr="00547EA0">
        <w:rPr>
          <w:bCs/>
        </w:rPr>
        <w:t xml:space="preserve">creditor protection can take the form of covenants restricting issuance of debt with a higher priority or through restriction of a creation of a claim with a higher priority unless the outstanding debenture is upgraded to have equal priority.  </w:t>
      </w:r>
      <w:r w:rsidR="006327AB" w:rsidRPr="00547EA0">
        <w:rPr>
          <w:bCs/>
        </w:rPr>
        <w:t xml:space="preserve">Yet, in practice, it might be impracticable to limit all subsequent debt issuance of a company. This is because investment imperatives may necessitate the company to seek funding through new equity claims or reduced dividend, which will make </w:t>
      </w:r>
      <w:r w:rsidR="000E5BFE" w:rsidRPr="00547EA0">
        <w:rPr>
          <w:bCs/>
        </w:rPr>
        <w:t>channel all the gains from the   investment to the outstanding debt to settle the debenture holders rather than the shareholders. Despite the foregoing stringent covenants in trust deed</w:t>
      </w:r>
      <w:r w:rsidR="00850B1E" w:rsidRPr="00547EA0">
        <w:rPr>
          <w:bCs/>
        </w:rPr>
        <w:t>s</w:t>
      </w:r>
      <w:r w:rsidR="000E5BFE" w:rsidRPr="00547EA0">
        <w:rPr>
          <w:bCs/>
        </w:rPr>
        <w:t xml:space="preserve">, </w:t>
      </w:r>
      <w:r w:rsidR="00850B1E" w:rsidRPr="00547EA0">
        <w:rPr>
          <w:bCs/>
        </w:rPr>
        <w:t>their</w:t>
      </w:r>
      <w:r w:rsidR="000E5BFE" w:rsidRPr="00547EA0">
        <w:rPr>
          <w:color w:val="222222"/>
        </w:rPr>
        <w:t xml:space="preserve"> adapt</w:t>
      </w:r>
      <w:r w:rsidR="00850B1E" w:rsidRPr="00547EA0">
        <w:rPr>
          <w:color w:val="222222"/>
        </w:rPr>
        <w:t>ability</w:t>
      </w:r>
      <w:r w:rsidR="000E5BFE" w:rsidRPr="00547EA0">
        <w:rPr>
          <w:color w:val="222222"/>
        </w:rPr>
        <w:t xml:space="preserve"> to evolving market conditions without disadvantaging one party</w:t>
      </w:r>
      <w:r w:rsidR="0023592D" w:rsidRPr="00547EA0">
        <w:rPr>
          <w:color w:val="222222"/>
        </w:rPr>
        <w:t xml:space="preserve"> (especially the debenture holder)</w:t>
      </w:r>
      <w:r w:rsidR="00850B1E" w:rsidRPr="00547EA0">
        <w:rPr>
          <w:color w:val="222222"/>
        </w:rPr>
        <w:t xml:space="preserve"> still remains doubtful.</w:t>
      </w:r>
    </w:p>
    <w:p w14:paraId="54AFE33E" w14:textId="77777777" w:rsidR="00326CD2" w:rsidRPr="00547EA0" w:rsidRDefault="00326CD2" w:rsidP="00852BE9">
      <w:pPr>
        <w:spacing w:line="480" w:lineRule="auto"/>
        <w:jc w:val="both"/>
        <w:rPr>
          <w:bCs/>
        </w:rPr>
      </w:pPr>
    </w:p>
    <w:p w14:paraId="34A0A52E" w14:textId="7295604A" w:rsidR="00326CD2" w:rsidRPr="00547EA0" w:rsidRDefault="00326CD2" w:rsidP="00852BE9">
      <w:pPr>
        <w:spacing w:line="480" w:lineRule="auto"/>
        <w:jc w:val="both"/>
        <w:rPr>
          <w:bCs/>
        </w:rPr>
      </w:pPr>
      <w:r w:rsidRPr="00547EA0">
        <w:rPr>
          <w:bCs/>
        </w:rPr>
        <w:t xml:space="preserve">3.3 </w:t>
      </w:r>
      <w:r w:rsidRPr="00547EA0">
        <w:rPr>
          <w:b/>
          <w:color w:val="000000"/>
          <w:shd w:val="clear" w:color="auto" w:fill="FFFFFF"/>
        </w:rPr>
        <w:t>Trustee Responsibilities in Monitoring Debtor Compliance</w:t>
      </w:r>
      <w:r w:rsidRPr="00547EA0">
        <w:rPr>
          <w:bCs/>
        </w:rPr>
        <w:t xml:space="preserve"> </w:t>
      </w:r>
    </w:p>
    <w:p w14:paraId="4BF26CAB" w14:textId="77777777" w:rsidR="00F83485" w:rsidRPr="00547EA0" w:rsidRDefault="00326CD2" w:rsidP="00852BE9">
      <w:pPr>
        <w:spacing w:line="480" w:lineRule="auto"/>
        <w:jc w:val="both"/>
        <w:rPr>
          <w:bCs/>
        </w:rPr>
      </w:pPr>
      <w:r w:rsidRPr="00547EA0">
        <w:rPr>
          <w:bCs/>
        </w:rPr>
        <w:t xml:space="preserve"> </w:t>
      </w:r>
    </w:p>
    <w:p w14:paraId="5958AD97" w14:textId="3CBCC6E5" w:rsidR="00326CD2" w:rsidRPr="00547EA0" w:rsidRDefault="00F83485" w:rsidP="00852BE9">
      <w:pPr>
        <w:spacing w:line="480" w:lineRule="auto"/>
        <w:jc w:val="both"/>
        <w:rPr>
          <w:bCs/>
        </w:rPr>
      </w:pPr>
      <w:r w:rsidRPr="00547EA0">
        <w:rPr>
          <w:bCs/>
        </w:rPr>
        <w:t>It is the duty of the trustees to safeguard the rights and interests of the debenture holders, and the sole authority to question the management of the company on behalf of the debenture holders. They possess the legal title to the debenture. Being the legal owner, and intermediary between the company (debtor) and the debenture holders, they hold the documents used as security for the loan, they are also the executors of the trust deed. Though on behalf of the debenture holders, they possess all the powers, competence and wherewithal to enforce the provisions of the law and the deed on behalf of the debenture holders against the company.</w:t>
      </w:r>
      <w:r w:rsidR="00E71B98" w:rsidRPr="00547EA0">
        <w:rPr>
          <w:rStyle w:val="FootnoteReference"/>
          <w:bCs/>
        </w:rPr>
        <w:footnoteReference w:id="43"/>
      </w:r>
      <w:r w:rsidRPr="00547EA0">
        <w:rPr>
          <w:bCs/>
        </w:rPr>
        <w:t xml:space="preserve"> Where there is a default by the company or a breach of the debenture deed, the trustees should naturally initiate an action in court </w:t>
      </w:r>
      <w:r w:rsidRPr="00547EA0">
        <w:rPr>
          <w:bCs/>
        </w:rPr>
        <w:lastRenderedPageBreak/>
        <w:t xml:space="preserve">against the company to enforce the debenture trust deed, or where the trustees fail or refuse to initiate an action, can the debenture holder sue the company? </w:t>
      </w:r>
      <w:r w:rsidRPr="000D70E7">
        <w:rPr>
          <w:bCs/>
        </w:rPr>
        <w:t>Under the common law, the debenture holder is not entitled to maintain any individual action against the company</w:t>
      </w:r>
      <w:r w:rsidR="00521D36" w:rsidRPr="000D70E7">
        <w:rPr>
          <w:rStyle w:val="FootnoteReference"/>
          <w:bCs/>
        </w:rPr>
        <w:footnoteReference w:id="44"/>
      </w:r>
      <w:r w:rsidRPr="000D70E7">
        <w:rPr>
          <w:bCs/>
        </w:rPr>
        <w:t>. But under the Act, a debenture holder is entitled to maintain an action to realize any security vested in him or any other person for his benefit</w:t>
      </w:r>
      <w:r w:rsidR="00E71B98" w:rsidRPr="000D70E7">
        <w:rPr>
          <w:bCs/>
        </w:rPr>
        <w:t>.</w:t>
      </w:r>
      <w:r w:rsidR="00E71B98" w:rsidRPr="00547EA0">
        <w:rPr>
          <w:rStyle w:val="FootnoteReference"/>
          <w:bCs/>
        </w:rPr>
        <w:footnoteReference w:id="45"/>
      </w:r>
      <w:r w:rsidRPr="00547EA0">
        <w:rPr>
          <w:bCs/>
        </w:rPr>
        <w:t xml:space="preserve"> Where the debenture is secured by a legal mortgage, the debenture holder may therefore realize the security by taking steps directly by the appointment of receiver to sell off the security or where the debenture is unsecured he may file an action in court for foreclosure, appointment of receiver, sale, winding up proceedings, etc., In most cases, the debenture holder must sue in representative capacity on behalf of the class of debentures they represent.</w:t>
      </w:r>
      <w:r w:rsidR="00E71B98" w:rsidRPr="00547EA0">
        <w:rPr>
          <w:rStyle w:val="FootnoteReference"/>
          <w:bCs/>
        </w:rPr>
        <w:footnoteReference w:id="46"/>
      </w:r>
      <w:r w:rsidRPr="00547EA0">
        <w:rPr>
          <w:bCs/>
        </w:rPr>
        <w:t xml:space="preserve"> The right to sue by the debenture holders is subject to the conditions provided in the debenture deed and the CAMA</w:t>
      </w:r>
      <w:r w:rsidR="000F3A6C" w:rsidRPr="00547EA0">
        <w:rPr>
          <w:bCs/>
        </w:rPr>
        <w:t>.</w:t>
      </w:r>
    </w:p>
    <w:p w14:paraId="6C79E598" w14:textId="77777777" w:rsidR="00326CD2" w:rsidRPr="00547EA0" w:rsidRDefault="00326CD2" w:rsidP="00852BE9">
      <w:pPr>
        <w:spacing w:line="480" w:lineRule="auto"/>
        <w:jc w:val="both"/>
        <w:rPr>
          <w:b/>
          <w:bCs/>
        </w:rPr>
      </w:pPr>
    </w:p>
    <w:p w14:paraId="0B91A3A1" w14:textId="435CB4F0" w:rsidR="00CD6E64" w:rsidRPr="00547EA0" w:rsidRDefault="00CD6E64" w:rsidP="00852BE9">
      <w:pPr>
        <w:spacing w:line="480" w:lineRule="auto"/>
        <w:jc w:val="both"/>
        <w:rPr>
          <w:bCs/>
        </w:rPr>
      </w:pPr>
      <w:r w:rsidRPr="00547EA0">
        <w:rPr>
          <w:rFonts w:ascii="Tahoma" w:hAnsi="Tahoma" w:cs="Tahoma"/>
          <w:bCs/>
        </w:rPr>
        <w:t>﻿</w:t>
      </w:r>
      <w:r w:rsidRPr="00547EA0">
        <w:rPr>
          <w:bCs/>
        </w:rPr>
        <w:t>The CAMA 2020 Act provisions makes alternative provisions that whenever the trustees ought to take action against the company, then the debenture holders are also empowered to take the same action. The problem is, are the debenture holders equipped to take such action? The legal estate is invested in the trustee, the Debenture deed may specify that it is the trustee that takes action on behalf of the debenture holders, and all facilities and documents are normally kept with the trustees, most unfortunately, it is the trustees that call for meetings, except, requisitioned by at least one tenth of the members of that class.</w:t>
      </w:r>
      <w:r w:rsidR="00FA1B9D" w:rsidRPr="00547EA0">
        <w:rPr>
          <w:rStyle w:val="FootnoteReference"/>
          <w:bCs/>
        </w:rPr>
        <w:footnoteReference w:id="47"/>
      </w:r>
      <w:r w:rsidRPr="00547EA0">
        <w:rPr>
          <w:bCs/>
        </w:rPr>
        <w:t xml:space="preserve"> The individual debenture holder may find it difficult to press for his right as there is possibility of the majority blocking such court action.</w:t>
      </w:r>
      <w:r w:rsidR="00FA1B9D" w:rsidRPr="00547EA0">
        <w:rPr>
          <w:rStyle w:val="FootnoteReference"/>
          <w:bCs/>
        </w:rPr>
        <w:footnoteReference w:id="48"/>
      </w:r>
      <w:r w:rsidRPr="00547EA0">
        <w:rPr>
          <w:bCs/>
        </w:rPr>
        <w:t xml:space="preserve"> However, </w:t>
      </w:r>
      <w:r w:rsidRPr="00547EA0">
        <w:rPr>
          <w:bCs/>
        </w:rPr>
        <w:lastRenderedPageBreak/>
        <w:t xml:space="preserve">in the case </w:t>
      </w:r>
      <w:r w:rsidRPr="00547EA0">
        <w:rPr>
          <w:rFonts w:ascii="Tahoma" w:hAnsi="Tahoma" w:cs="Tahoma"/>
          <w:bCs/>
        </w:rPr>
        <w:t>﻿</w:t>
      </w:r>
      <w:r w:rsidRPr="00547EA0">
        <w:rPr>
          <w:bCs/>
        </w:rPr>
        <w:t xml:space="preserve">of </w:t>
      </w:r>
      <w:r w:rsidRPr="00547EA0">
        <w:rPr>
          <w:bCs/>
          <w:i/>
        </w:rPr>
        <w:t>British America Nickel Corporation Ltd v O’ Brien</w:t>
      </w:r>
      <w:r w:rsidRPr="00547EA0">
        <w:rPr>
          <w:bCs/>
        </w:rPr>
        <w:t>,</w:t>
      </w:r>
      <w:r w:rsidR="00FA1B9D" w:rsidRPr="00547EA0">
        <w:rPr>
          <w:rStyle w:val="FootnoteReference"/>
          <w:bCs/>
        </w:rPr>
        <w:footnoteReference w:id="49"/>
      </w:r>
      <w:r w:rsidRPr="00547EA0">
        <w:rPr>
          <w:bCs/>
        </w:rPr>
        <w:t xml:space="preserve"> the House of Lords in England, a decision of the majority of the debenture holders, modifying their rights was invalidated on the grounds that one of debenture holders whose report, was necessary for the passing of the resolution, was to receive under the scheme a block of ordinary shares which opportunity was not available to other debenture holders. In </w:t>
      </w:r>
      <w:r w:rsidRPr="00547EA0">
        <w:rPr>
          <w:bCs/>
          <w:i/>
        </w:rPr>
        <w:t>the O’ Brien</w:t>
      </w:r>
      <w:r w:rsidRPr="00547EA0">
        <w:rPr>
          <w:bCs/>
        </w:rPr>
        <w:t xml:space="preserve"> case, Lord Viscount Haldane was of the view that the power of alteration “must be exercised for the purpose of benefiting the class as a whole</w:t>
      </w:r>
      <w:r w:rsidR="00FA1B9D" w:rsidRPr="00547EA0">
        <w:rPr>
          <w:bCs/>
        </w:rPr>
        <w:t>.</w:t>
      </w:r>
      <w:r w:rsidRPr="00547EA0">
        <w:rPr>
          <w:bCs/>
        </w:rPr>
        <w:t>” Davies</w:t>
      </w:r>
      <w:r w:rsidR="00FA1B9D" w:rsidRPr="00547EA0">
        <w:rPr>
          <w:rStyle w:val="FootnoteReference"/>
          <w:bCs/>
        </w:rPr>
        <w:footnoteReference w:id="50"/>
      </w:r>
      <w:r w:rsidRPr="00547EA0">
        <w:rPr>
          <w:bCs/>
        </w:rPr>
        <w:t xml:space="preserve"> argues that the rule, does not apply in a literal sense, as requiring no discrimination against any members of the class. Generally, therefore, the trust deed may not necessarily give debenture holders right to institute action to enforce the trust deed, and legally being only beneficiaries, they are not entitled to sue the company directly except where they join the trustees as a party. Even where the individual wishes to sue, he may be handicapped by the wish of the majority, and </w:t>
      </w:r>
      <w:r w:rsidR="00A86B35" w:rsidRPr="00547EA0">
        <w:rPr>
          <w:bCs/>
        </w:rPr>
        <w:t>also,</w:t>
      </w:r>
      <w:r w:rsidRPr="00547EA0">
        <w:rPr>
          <w:bCs/>
        </w:rPr>
        <w:t xml:space="preserve"> he cannot requisition meeting unless backed by at least one tenth of the members of the class. It follows that the individual right is almost unenforceable.</w:t>
      </w:r>
    </w:p>
    <w:p w14:paraId="2C051663" w14:textId="77777777" w:rsidR="00CD6E64" w:rsidRPr="00547EA0" w:rsidRDefault="00CD6E64" w:rsidP="00852BE9">
      <w:pPr>
        <w:spacing w:line="480" w:lineRule="auto"/>
        <w:jc w:val="both"/>
        <w:rPr>
          <w:bCs/>
        </w:rPr>
      </w:pPr>
    </w:p>
    <w:p w14:paraId="7068A999" w14:textId="4743677E" w:rsidR="004B19B7" w:rsidRPr="00547EA0" w:rsidRDefault="00CD6E64" w:rsidP="00852BE9">
      <w:pPr>
        <w:spacing w:after="240" w:line="480" w:lineRule="auto"/>
        <w:jc w:val="both"/>
      </w:pPr>
      <w:r w:rsidRPr="00547EA0">
        <w:t>The trustee duty of care skill and diligence ought to be an exception to the rule since the duty is owed to the individual debenture holder and not to a class, and the law permits the debenture holder to initiate action against the trustee if there is a conflict of interest situation.</w:t>
      </w:r>
      <w:r w:rsidR="00F2589E" w:rsidRPr="00547EA0">
        <w:rPr>
          <w:rStyle w:val="FootnoteReference"/>
        </w:rPr>
        <w:footnoteReference w:id="51"/>
      </w:r>
      <w:r w:rsidRPr="00547EA0">
        <w:t xml:space="preserve"> </w:t>
      </w:r>
      <w:r w:rsidR="00A7078C" w:rsidRPr="00547EA0">
        <w:t>Consequently</w:t>
      </w:r>
      <w:r w:rsidRPr="00547EA0">
        <w:t>, the court may, require the applicant to give security for the payment of the cost of the trustee,</w:t>
      </w:r>
      <w:r w:rsidR="00EB3C2A" w:rsidRPr="00547EA0">
        <w:rPr>
          <w:rStyle w:val="FootnoteReference"/>
        </w:rPr>
        <w:footnoteReference w:id="52"/>
      </w:r>
      <w:r w:rsidRPr="00547EA0">
        <w:t xml:space="preserve"> the window of opportunity to sue the trustee is only limited to the conflict of interest issue and does not extend to negligence cases, which can only be performed by the majority of the class, the </w:t>
      </w:r>
      <w:r w:rsidRPr="00547EA0">
        <w:lastRenderedPageBreak/>
        <w:t>problem however is that the majority may also release the trustee from liability.</w:t>
      </w:r>
      <w:r w:rsidR="00EB3C2A" w:rsidRPr="00547EA0">
        <w:rPr>
          <w:rStyle w:val="FootnoteReference"/>
        </w:rPr>
        <w:footnoteReference w:id="53"/>
      </w:r>
      <w:r w:rsidRPr="00547EA0">
        <w:t xml:space="preserve"> The solution to this dilemma will be an amendment to the law to take care of the anomaly created.</w:t>
      </w:r>
    </w:p>
    <w:p w14:paraId="5AE8F73E" w14:textId="393D63A6" w:rsidR="00CD6E64" w:rsidRPr="00547EA0" w:rsidRDefault="00CD6E64" w:rsidP="00852BE9">
      <w:pPr>
        <w:spacing w:after="240" w:line="480" w:lineRule="auto"/>
        <w:jc w:val="both"/>
      </w:pPr>
      <w:r w:rsidRPr="00547EA0">
        <w:rPr>
          <w:rFonts w:ascii="Tahoma" w:hAnsi="Tahoma" w:cs="Tahoma"/>
        </w:rPr>
        <w:t>﻿</w:t>
      </w:r>
      <w:r w:rsidRPr="00547EA0">
        <w:t>Some scholars have advocated for the introduction of fiduciary duty of directors of company and the trustees in favor of the debenture holders.</w:t>
      </w:r>
      <w:r w:rsidR="00F2589E" w:rsidRPr="00547EA0">
        <w:rPr>
          <w:rStyle w:val="FootnoteReference"/>
        </w:rPr>
        <w:footnoteReference w:id="54"/>
      </w:r>
      <w:r w:rsidRPr="00547EA0">
        <w:t xml:space="preserve"> A most devastating argument against this advocacy is that the interests of shareholders and debenture holders are mostly irreconcilable and opposite, it may be therefore unrealistic to assume that a single fiduciary could concurrently serve the interest of two parties that are adversarial. In the United States case of </w:t>
      </w:r>
      <w:r w:rsidRPr="00547EA0">
        <w:rPr>
          <w:i/>
        </w:rPr>
        <w:t>Broad v Rockwell International Corporation</w:t>
      </w:r>
      <w:r w:rsidRPr="00547EA0">
        <w:t>,</w:t>
      </w:r>
      <w:r w:rsidR="00366CDB" w:rsidRPr="00547EA0">
        <w:rPr>
          <w:rStyle w:val="FootnoteReference"/>
        </w:rPr>
        <w:footnoteReference w:id="55"/>
      </w:r>
      <w:r w:rsidR="00366CDB" w:rsidRPr="00547EA0">
        <w:t xml:space="preserve"> t</w:t>
      </w:r>
      <w:r w:rsidRPr="00547EA0">
        <w:t xml:space="preserve">he court ruled that while shareholders hold fiduciary duty to the holders of convertible bonds, that </w:t>
      </w:r>
      <w:r w:rsidRPr="00547EA0">
        <w:rPr>
          <w:rFonts w:ascii="Tahoma" w:hAnsi="Tahoma" w:cs="Tahoma"/>
        </w:rPr>
        <w:t>﻿</w:t>
      </w:r>
      <w:r w:rsidRPr="00547EA0">
        <w:t xml:space="preserve">duty is satisfied when the firm complies with the letter of the bond indenture, </w:t>
      </w:r>
      <w:r w:rsidR="00457162" w:rsidRPr="00547EA0">
        <w:t xml:space="preserve">while </w:t>
      </w:r>
      <w:r w:rsidRPr="00547EA0">
        <w:t xml:space="preserve">the decisions in US courts like </w:t>
      </w:r>
      <w:r w:rsidRPr="00547EA0">
        <w:rPr>
          <w:i/>
        </w:rPr>
        <w:t xml:space="preserve">Harf v </w:t>
      </w:r>
      <w:proofErr w:type="spellStart"/>
      <w:r w:rsidRPr="00547EA0">
        <w:rPr>
          <w:i/>
        </w:rPr>
        <w:t>Kerikorian</w:t>
      </w:r>
      <w:proofErr w:type="spellEnd"/>
      <w:r w:rsidR="00B0336B" w:rsidRPr="00547EA0">
        <w:rPr>
          <w:rStyle w:val="FootnoteReference"/>
          <w:i/>
        </w:rPr>
        <w:footnoteReference w:id="56"/>
      </w:r>
      <w:r w:rsidRPr="00547EA0">
        <w:rPr>
          <w:i/>
        </w:rPr>
        <w:t xml:space="preserve"> </w:t>
      </w:r>
      <w:r w:rsidRPr="00547EA0">
        <w:t xml:space="preserve">and </w:t>
      </w:r>
      <w:r w:rsidR="00E57BE3" w:rsidRPr="00547EA0">
        <w:rPr>
          <w:i/>
        </w:rPr>
        <w:t>Hartford Fire Ins. Co.</w:t>
      </w:r>
      <w:r w:rsidRPr="00547EA0">
        <w:rPr>
          <w:i/>
        </w:rPr>
        <w:t xml:space="preserve"> v </w:t>
      </w:r>
      <w:r w:rsidR="00BC04B1" w:rsidRPr="00547EA0">
        <w:rPr>
          <w:i/>
        </w:rPr>
        <w:t>Federated Dep’t Stores</w:t>
      </w:r>
      <w:r w:rsidR="00EB3C2A" w:rsidRPr="00547EA0">
        <w:rPr>
          <w:rStyle w:val="FootnoteReference"/>
        </w:rPr>
        <w:footnoteReference w:id="57"/>
      </w:r>
      <w:r w:rsidRPr="00547EA0">
        <w:t xml:space="preserve"> seems to reject the application of fiduciary concept to the debenture transaction.</w:t>
      </w:r>
      <w:r w:rsidR="00EB3C2A" w:rsidRPr="00547EA0">
        <w:rPr>
          <w:rStyle w:val="FootnoteReference"/>
        </w:rPr>
        <w:footnoteReference w:id="58"/>
      </w:r>
      <w:r w:rsidRPr="00547EA0">
        <w:t xml:space="preserve"> The court in </w:t>
      </w:r>
      <w:r w:rsidRPr="00547EA0">
        <w:rPr>
          <w:i/>
        </w:rPr>
        <w:t>Metropolitan life Insurance v RJR Nabisco Inc</w:t>
      </w:r>
      <w:r w:rsidR="00EB3C2A" w:rsidRPr="00547EA0">
        <w:rPr>
          <w:rStyle w:val="FootnoteReference"/>
          <w:i/>
        </w:rPr>
        <w:footnoteReference w:id="59"/>
      </w:r>
      <w:r w:rsidRPr="00547EA0">
        <w:t xml:space="preserve"> concludes the matter by denying that there exist a fiduciary duty in </w:t>
      </w:r>
      <w:proofErr w:type="spellStart"/>
      <w:r w:rsidRPr="00547EA0">
        <w:t>favour</w:t>
      </w:r>
      <w:proofErr w:type="spellEnd"/>
      <w:r w:rsidRPr="00547EA0">
        <w:t xml:space="preserve"> of debenture holders when he declares:</w:t>
      </w:r>
    </w:p>
    <w:p w14:paraId="014529E3" w14:textId="4A14D12B" w:rsidR="00CD6E64" w:rsidRPr="00547EA0" w:rsidRDefault="00CD6E64" w:rsidP="00852BE9">
      <w:pPr>
        <w:spacing w:after="240" w:line="480" w:lineRule="auto"/>
        <w:ind w:left="1530" w:right="1620"/>
        <w:jc w:val="both"/>
      </w:pPr>
      <w:r w:rsidRPr="00547EA0">
        <w:t>“</w:t>
      </w:r>
      <w:r w:rsidRPr="00547EA0">
        <w:rPr>
          <w:i/>
        </w:rPr>
        <w:t xml:space="preserve">Before a Court recognizes the duty of a “punctilio” of an </w:t>
      </w:r>
      <w:proofErr w:type="spellStart"/>
      <w:r w:rsidRPr="00547EA0">
        <w:rPr>
          <w:i/>
        </w:rPr>
        <w:t>honour</w:t>
      </w:r>
      <w:proofErr w:type="spellEnd"/>
      <w:r w:rsidRPr="00547EA0">
        <w:rPr>
          <w:i/>
        </w:rPr>
        <w:t xml:space="preserve"> most sensitive it must be certain that the complaint is entitled to more than the ‘morals of the market place’ ...this court has concluded that Plaintiffs presently before it</w:t>
      </w:r>
      <w:r w:rsidR="00413A15">
        <w:rPr>
          <w:i/>
        </w:rPr>
        <w:t>,</w:t>
      </w:r>
      <w:r w:rsidRPr="00547EA0">
        <w:rPr>
          <w:i/>
        </w:rPr>
        <w:t xml:space="preserve"> sophisticated </w:t>
      </w:r>
      <w:r w:rsidRPr="00547EA0">
        <w:rPr>
          <w:i/>
        </w:rPr>
        <w:lastRenderedPageBreak/>
        <w:t xml:space="preserve">investors who are unsecured creditors are not entitled to such additional </w:t>
      </w:r>
      <w:r w:rsidR="00F04FAE" w:rsidRPr="00547EA0">
        <w:rPr>
          <w:i/>
        </w:rPr>
        <w:t>protections</w:t>
      </w:r>
      <w:r w:rsidR="00F04FAE" w:rsidRPr="00547EA0">
        <w:t>”</w:t>
      </w:r>
      <w:r w:rsidR="00EB3C2A" w:rsidRPr="00547EA0">
        <w:rPr>
          <w:rStyle w:val="FootnoteReference"/>
        </w:rPr>
        <w:footnoteReference w:id="60"/>
      </w:r>
    </w:p>
    <w:p w14:paraId="68A88E2A" w14:textId="6CE8EE12" w:rsidR="004B19B7" w:rsidRPr="00547EA0" w:rsidRDefault="00F83485" w:rsidP="00852BE9">
      <w:pPr>
        <w:spacing w:after="240" w:line="480" w:lineRule="auto"/>
        <w:jc w:val="both"/>
      </w:pPr>
      <w:r w:rsidRPr="00547EA0">
        <w:rPr>
          <w:bCs/>
        </w:rPr>
        <w:t xml:space="preserve">3.4 </w:t>
      </w:r>
      <w:r w:rsidRPr="00547EA0">
        <w:rPr>
          <w:b/>
          <w:color w:val="000000"/>
          <w:shd w:val="clear" w:color="auto" w:fill="FFFFFF"/>
        </w:rPr>
        <w:t>Trust Deeds as Tools for Managing Credit Risk</w:t>
      </w:r>
    </w:p>
    <w:p w14:paraId="3BEED6EB" w14:textId="6914188A" w:rsidR="00D254F1" w:rsidRPr="000D70E7" w:rsidRDefault="00FA17D4" w:rsidP="00852BE9">
      <w:pPr>
        <w:spacing w:after="240" w:line="480" w:lineRule="auto"/>
        <w:jc w:val="both"/>
      </w:pPr>
      <w:r w:rsidRPr="00547EA0">
        <w:t xml:space="preserve">As has been discussed earlier in this paper, the trust deed is a mechanism for control and oversight over the borrower. In addition, the trust deed uses its stringent covenants to operate as a mechanism to mitigate and manage credit risk. Credit risk refers to the likelihood that a borrower will fail to meets its obligation to repay a loan, leading to pecuniary loss to the lender.  One of the ways in which a </w:t>
      </w:r>
      <w:r w:rsidR="00DE282E" w:rsidRPr="00547EA0">
        <w:t xml:space="preserve">debenture </w:t>
      </w:r>
      <w:r w:rsidRPr="00547EA0">
        <w:t xml:space="preserve">trust deed can be used to mitigate credit risk is </w:t>
      </w:r>
      <w:r w:rsidR="00950439" w:rsidRPr="00547EA0">
        <w:t>by ensuring the debt is secured through covenants which gives a trustee title to a pledged property pending when the debenture is repaid/realized in full.</w:t>
      </w:r>
      <w:r w:rsidR="00950439" w:rsidRPr="00547EA0">
        <w:rPr>
          <w:rStyle w:val="FootnoteReference"/>
        </w:rPr>
        <w:footnoteReference w:id="61"/>
      </w:r>
      <w:r w:rsidR="00D254F1" w:rsidRPr="00547EA0">
        <w:rPr>
          <w:rFonts w:ascii="Tahoma" w:hAnsi="Tahoma" w:cs="Tahoma"/>
        </w:rPr>
        <w:t>﻿</w:t>
      </w:r>
      <w:r w:rsidR="00D254F1" w:rsidRPr="00547EA0">
        <w:t xml:space="preserve">A debenture may be naked or a secured debenture; a secured debenture is one in respect of which some security is created over the assets/property of the company. Charges are a veritable means over which security is created in a debenture as regards the underlying indebtedness. Section </w:t>
      </w:r>
      <w:r w:rsidR="002C3BCA" w:rsidRPr="00547EA0">
        <w:t>868</w:t>
      </w:r>
      <w:r w:rsidR="00D254F1" w:rsidRPr="00547EA0">
        <w:t xml:space="preserve"> of CAMA did not define a charge. There are however two kinds of </w:t>
      </w:r>
      <w:r w:rsidR="00D254F1" w:rsidRPr="000D70E7">
        <w:t>charge that may be created under CAMA, that is fixed charge or floating charge</w:t>
      </w:r>
      <w:r w:rsidR="00135968" w:rsidRPr="000D70E7">
        <w:rPr>
          <w:rStyle w:val="FootnoteReference"/>
        </w:rPr>
        <w:footnoteReference w:id="62"/>
      </w:r>
      <w:r w:rsidR="00D254F1" w:rsidRPr="000D70E7">
        <w:t>.</w:t>
      </w:r>
    </w:p>
    <w:p w14:paraId="277F10B5" w14:textId="57FFFE47" w:rsidR="009E3A5F" w:rsidRPr="00547EA0" w:rsidRDefault="002C3BCA" w:rsidP="00852BE9">
      <w:pPr>
        <w:spacing w:after="240" w:line="480" w:lineRule="auto"/>
        <w:jc w:val="both"/>
      </w:pPr>
      <w:r w:rsidRPr="000D70E7">
        <w:rPr>
          <w:rFonts w:ascii="Tahoma" w:hAnsi="Tahoma" w:cs="Tahoma"/>
        </w:rPr>
        <w:t>﻿</w:t>
      </w:r>
      <w:r w:rsidR="000D1CD8" w:rsidRPr="000D70E7">
        <w:t>While</w:t>
      </w:r>
      <w:r w:rsidRPr="000D70E7">
        <w:t xml:space="preserve"> section </w:t>
      </w:r>
      <w:r w:rsidR="000D1CD8" w:rsidRPr="000D70E7">
        <w:t>203</w:t>
      </w:r>
      <w:r w:rsidRPr="000D70E7">
        <w:t xml:space="preserve"> of CAMA is </w:t>
      </w:r>
      <w:r w:rsidR="000D1CD8" w:rsidRPr="000D70E7">
        <w:t xml:space="preserve">headed </w:t>
      </w:r>
      <w:r w:rsidRPr="000D70E7">
        <w:t xml:space="preserve">“Meaning of “floating” and “fixed” charges, the section did not define or describe a fixed charge. Rather, the section defines floating charge as an equitable charge over the whole or a specified part of the company‘s undertakings and assets, including cash and uncalled capital of the company both present and future, but so that the charge shall not preclude the company from dealing with such assets until the security becomes enforceable and </w:t>
      </w:r>
      <w:r w:rsidRPr="000D70E7">
        <w:lastRenderedPageBreak/>
        <w:t>the holder thereof, pursuant to a power in that behalf in the debenture or the deed securing the same, appoints a receiver or manager or enters into possession of such assets; or the court appoints a receiver or manager of such assets on the application of the holder; or the company goes into liquidation.</w:t>
      </w:r>
      <w:r w:rsidR="00553C88" w:rsidRPr="00547EA0">
        <w:t xml:space="preserve"> </w:t>
      </w:r>
      <w:r w:rsidR="00553C88" w:rsidRPr="00547EA0">
        <w:rPr>
          <w:rFonts w:ascii="Tahoma" w:hAnsi="Tahoma" w:cs="Tahoma"/>
        </w:rPr>
        <w:t>﻿</w:t>
      </w:r>
      <w:r w:rsidR="00553C88" w:rsidRPr="00547EA0">
        <w:t xml:space="preserve">Registration or filing is a mode of perfecting some types of security interest. Even though the terms are at times used interchangeably, it has been observed that there is distinction between registration and filing because </w:t>
      </w:r>
      <w:r w:rsidR="000229AA" w:rsidRPr="00547EA0">
        <w:t>“</w:t>
      </w:r>
      <w:r w:rsidR="00553C88" w:rsidRPr="00547EA0">
        <w:t xml:space="preserve">it is more accurate to speak of registration as the </w:t>
      </w:r>
      <w:r w:rsidR="009A6924" w:rsidRPr="00547EA0">
        <w:t>lodgment</w:t>
      </w:r>
      <w:r w:rsidR="00553C88" w:rsidRPr="00547EA0">
        <w:t xml:space="preserve"> of particulars relating to the security, and filing as the </w:t>
      </w:r>
      <w:r w:rsidR="009A6924" w:rsidRPr="00547EA0">
        <w:t>lodgment</w:t>
      </w:r>
      <w:r w:rsidR="00553C88" w:rsidRPr="00547EA0">
        <w:t xml:space="preserve"> of the security instrument itself or a copy of it.</w:t>
      </w:r>
      <w:r w:rsidR="000229AA" w:rsidRPr="00547EA0">
        <w:t>”</w:t>
      </w:r>
      <w:r w:rsidR="00553C88" w:rsidRPr="00547EA0">
        <w:rPr>
          <w:rStyle w:val="FootnoteReference"/>
        </w:rPr>
        <w:footnoteReference w:id="63"/>
      </w:r>
      <w:r w:rsidR="00F24795" w:rsidRPr="00547EA0">
        <w:t xml:space="preserve"> Compared to other tools for mitigating credit risk, such as mortgages and personal guarantees, the trust deed directly ties the debt to specific property, offering a more tangible form of security. This has the advantage of providing security to the trustee by offering a collateral that can be liquidated. </w:t>
      </w:r>
    </w:p>
    <w:p w14:paraId="0C43EC19" w14:textId="5703EF82" w:rsidR="00FA17D4" w:rsidRPr="00547EA0" w:rsidRDefault="00894830" w:rsidP="00852BE9">
      <w:pPr>
        <w:spacing w:after="240" w:line="480" w:lineRule="auto"/>
        <w:jc w:val="both"/>
      </w:pPr>
      <w:r w:rsidRPr="00547EA0">
        <w:t>By issuing a secured deb</w:t>
      </w:r>
      <w:r w:rsidR="002C3BCA" w:rsidRPr="00547EA0">
        <w:t>en</w:t>
      </w:r>
      <w:r w:rsidRPr="00547EA0">
        <w:t>t</w:t>
      </w:r>
      <w:r w:rsidR="002C3BCA" w:rsidRPr="00547EA0">
        <w:t>ure</w:t>
      </w:r>
      <w:r w:rsidRPr="00547EA0">
        <w:t xml:space="preserve"> to the trustee, the company will be restrained from disposing the property without the permission of the debenture holders.  The effect of such secured deb</w:t>
      </w:r>
      <w:r w:rsidR="001F2D46" w:rsidRPr="00547EA0">
        <w:t>en</w:t>
      </w:r>
      <w:r w:rsidRPr="00547EA0">
        <w:t>t</w:t>
      </w:r>
      <w:r w:rsidR="001F2D46" w:rsidRPr="00547EA0">
        <w:t>ure</w:t>
      </w:r>
      <w:r w:rsidRPr="00547EA0">
        <w:t xml:space="preserve"> is that it </w:t>
      </w:r>
      <w:r w:rsidR="007F5343" w:rsidRPr="00547EA0">
        <w:t>lowers</w:t>
      </w:r>
      <w:r w:rsidRPr="00547EA0">
        <w:t xml:space="preserve"> the cost of borrowing because it d</w:t>
      </w:r>
      <w:r w:rsidR="007F5343" w:rsidRPr="00547EA0">
        <w:t>isincentivizes</w:t>
      </w:r>
      <w:r w:rsidRPr="00547EA0">
        <w:t xml:space="preserve"> stockholder </w:t>
      </w:r>
      <w:r w:rsidR="005B22DE" w:rsidRPr="00547EA0">
        <w:t>engagement in</w:t>
      </w:r>
      <w:r w:rsidRPr="00547EA0">
        <w:t xml:space="preserve"> unprofitable projects since they know that the debenture holders h</w:t>
      </w:r>
      <w:r w:rsidR="007F5343" w:rsidRPr="00547EA0">
        <w:t xml:space="preserve">old the title to company assets. This mitigates asset substitution and reduces enforcement and administrative costs, as the debenture holders have a clear title to company assets, thus shielding their claim from potential diminution if borrower (company) issues fresh debt. </w:t>
      </w:r>
      <w:r w:rsidR="00DE282E" w:rsidRPr="00547EA0">
        <w:t>While trust deeds provide security in the context of mitigation of credit risk, they can be costly in the form of</w:t>
      </w:r>
      <w:r w:rsidR="008F586F" w:rsidRPr="00547EA0">
        <w:t xml:space="preserve"> significant out of pocket expenses</w:t>
      </w:r>
      <w:r w:rsidR="00207417" w:rsidRPr="00547EA0">
        <w:t xml:space="preserve"> like required reports to debenture holders, filing fees and other administrative costs. It also has opportunity cost in the form of restriction of the company’s ability to engage in profitable disposition of the collateral.</w:t>
      </w:r>
      <w:r w:rsidR="00DE282E" w:rsidRPr="00547EA0">
        <w:t xml:space="preserve"> What is more, market conditions may impact the effectiveness of trust </w:t>
      </w:r>
      <w:r w:rsidR="00DE282E" w:rsidRPr="00547EA0">
        <w:lastRenderedPageBreak/>
        <w:t>deeds in managing credit risk</w:t>
      </w:r>
      <w:r w:rsidR="00D36BB1" w:rsidRPr="00547EA0">
        <w:t>. For example,</w:t>
      </w:r>
      <w:r w:rsidR="00DE282E" w:rsidRPr="00547EA0">
        <w:t xml:space="preserve"> when </w:t>
      </w:r>
      <w:r w:rsidR="00D36BB1" w:rsidRPr="00547EA0">
        <w:t xml:space="preserve">there is a decline in property markets, the collateral provided in trust deeds may lose value, thus not covering the full loan in the event of default. </w:t>
      </w:r>
    </w:p>
    <w:p w14:paraId="59542CDF" w14:textId="040C0F12" w:rsidR="004B19B7" w:rsidRPr="00547EA0" w:rsidRDefault="00D36BB1" w:rsidP="00852BE9">
      <w:pPr>
        <w:spacing w:after="240" w:line="480" w:lineRule="auto"/>
        <w:jc w:val="both"/>
      </w:pPr>
      <w:r w:rsidRPr="00547EA0">
        <w:t>Overall, t</w:t>
      </w:r>
      <w:r w:rsidR="00AD1F73" w:rsidRPr="00547EA0">
        <w:t xml:space="preserve">rust deeds serve as powerful tools for mitigating credit risk by providing lenders with a security interest in property. However, their effectiveness is closely tied to market conditions and legal </w:t>
      </w:r>
      <w:r w:rsidR="00C47BE7" w:rsidRPr="00547EA0">
        <w:t>frameworks. Understanding</w:t>
      </w:r>
      <w:r w:rsidR="0021333B" w:rsidRPr="00547EA0">
        <w:t xml:space="preserve"> the ro</w:t>
      </w:r>
      <w:r w:rsidR="001D1CA8" w:rsidRPr="00547EA0">
        <w:t>l</w:t>
      </w:r>
      <w:r w:rsidR="0021333B" w:rsidRPr="00547EA0">
        <w:t xml:space="preserve">e of trust deeds in credit risk management is crucial for comprehending their overall impact on debt governance and financial stability. </w:t>
      </w:r>
    </w:p>
    <w:p w14:paraId="7CE32782" w14:textId="5B6F116B" w:rsidR="00C47BE7" w:rsidRPr="00547EA0" w:rsidRDefault="00C47BE7" w:rsidP="00852BE9">
      <w:pPr>
        <w:spacing w:line="480" w:lineRule="auto"/>
        <w:ind w:left="360" w:hanging="360"/>
        <w:jc w:val="both"/>
      </w:pPr>
      <w:r w:rsidRPr="00547EA0">
        <w:rPr>
          <w:bCs/>
        </w:rPr>
        <w:t>4.0</w:t>
      </w:r>
      <w:r w:rsidRPr="00547EA0">
        <w:rPr>
          <w:b/>
          <w:bCs/>
        </w:rPr>
        <w:t xml:space="preserve"> Part Four: A </w:t>
      </w:r>
      <w:r w:rsidRPr="00547EA0">
        <w:rPr>
          <w:b/>
          <w:color w:val="000000"/>
          <w:sz w:val="23"/>
          <w:szCs w:val="23"/>
          <w:shd w:val="clear" w:color="auto" w:fill="FFFFFF"/>
        </w:rPr>
        <w:t>Comparative Analysis</w:t>
      </w:r>
      <w:r w:rsidRPr="00547EA0">
        <w:rPr>
          <w:b/>
          <w:bCs/>
        </w:rPr>
        <w:t xml:space="preserve"> of The Legal Frameworks </w:t>
      </w:r>
      <w:r w:rsidR="00C30175" w:rsidRPr="00547EA0">
        <w:rPr>
          <w:b/>
          <w:bCs/>
        </w:rPr>
        <w:t>for</w:t>
      </w:r>
      <w:r w:rsidRPr="00547EA0">
        <w:rPr>
          <w:b/>
          <w:bCs/>
        </w:rPr>
        <w:t xml:space="preserve"> Trust Deeds </w:t>
      </w:r>
      <w:r w:rsidR="0046567F" w:rsidRPr="00547EA0">
        <w:rPr>
          <w:b/>
          <w:bCs/>
        </w:rPr>
        <w:t>in</w:t>
      </w:r>
      <w:r w:rsidRPr="00547EA0">
        <w:rPr>
          <w:b/>
          <w:bCs/>
        </w:rPr>
        <w:t xml:space="preserve"> Different Jurisdictions.</w:t>
      </w:r>
    </w:p>
    <w:p w14:paraId="7B35C89B" w14:textId="2814FEE4" w:rsidR="00E03664" w:rsidRPr="00547EA0" w:rsidRDefault="00C47BE7" w:rsidP="00852BE9">
      <w:pPr>
        <w:spacing w:line="480" w:lineRule="auto"/>
        <w:ind w:left="360" w:hanging="360"/>
        <w:jc w:val="both"/>
        <w:rPr>
          <w:b/>
          <w:bCs/>
        </w:rPr>
      </w:pPr>
      <w:r w:rsidRPr="00547EA0">
        <w:rPr>
          <w:b/>
          <w:bCs/>
        </w:rPr>
        <w:t xml:space="preserve">       </w:t>
      </w:r>
    </w:p>
    <w:p w14:paraId="48832AE6" w14:textId="690CBDC0" w:rsidR="00E03664" w:rsidRPr="00547EA0" w:rsidRDefault="00E03664" w:rsidP="00852BE9">
      <w:pPr>
        <w:spacing w:line="480" w:lineRule="auto"/>
        <w:ind w:left="360" w:hanging="360"/>
        <w:jc w:val="both"/>
        <w:rPr>
          <w:bCs/>
        </w:rPr>
      </w:pPr>
      <w:r w:rsidRPr="00547EA0">
        <w:rPr>
          <w:b/>
          <w:bCs/>
        </w:rPr>
        <w:tab/>
      </w:r>
      <w:r w:rsidRPr="00547EA0">
        <w:rPr>
          <w:bCs/>
        </w:rPr>
        <w:t>This part of the paper will compare the legal framework</w:t>
      </w:r>
      <w:r w:rsidR="00E81F05" w:rsidRPr="00547EA0">
        <w:rPr>
          <w:bCs/>
        </w:rPr>
        <w:t>s</w:t>
      </w:r>
      <w:r w:rsidRPr="00547EA0">
        <w:rPr>
          <w:bCs/>
        </w:rPr>
        <w:t xml:space="preserve"> </w:t>
      </w:r>
      <w:r w:rsidR="00333D20" w:rsidRPr="00547EA0">
        <w:rPr>
          <w:bCs/>
        </w:rPr>
        <w:t xml:space="preserve">governing </w:t>
      </w:r>
      <w:r w:rsidR="005A7DDC" w:rsidRPr="00547EA0">
        <w:rPr>
          <w:bCs/>
        </w:rPr>
        <w:t>t</w:t>
      </w:r>
      <w:r w:rsidRPr="00547EA0">
        <w:rPr>
          <w:bCs/>
        </w:rPr>
        <w:t xml:space="preserve">rust deeds and their implications for debt governance, with particular emphasis on the United States and the United Kingdom </w:t>
      </w:r>
      <w:r w:rsidR="00333D20" w:rsidRPr="00547EA0">
        <w:rPr>
          <w:bCs/>
        </w:rPr>
        <w:t>in comparison</w:t>
      </w:r>
      <w:r w:rsidRPr="00547EA0">
        <w:rPr>
          <w:bCs/>
        </w:rPr>
        <w:t xml:space="preserve"> to Nigeria. </w:t>
      </w:r>
    </w:p>
    <w:p w14:paraId="03993864" w14:textId="77777777" w:rsidR="00E03664" w:rsidRPr="00547EA0" w:rsidRDefault="00E03664" w:rsidP="00852BE9">
      <w:pPr>
        <w:spacing w:line="480" w:lineRule="auto"/>
        <w:ind w:left="360" w:hanging="360"/>
        <w:jc w:val="both"/>
        <w:rPr>
          <w:bCs/>
        </w:rPr>
      </w:pPr>
    </w:p>
    <w:p w14:paraId="2006ED49" w14:textId="77777777" w:rsidR="00547EA0" w:rsidRDefault="00547EA0" w:rsidP="00852BE9">
      <w:pPr>
        <w:spacing w:line="480" w:lineRule="auto"/>
        <w:ind w:left="360" w:hanging="360"/>
        <w:jc w:val="both"/>
        <w:rPr>
          <w:bCs/>
        </w:rPr>
      </w:pPr>
    </w:p>
    <w:p w14:paraId="44C9BD85" w14:textId="77777777" w:rsidR="00547EA0" w:rsidRDefault="00547EA0" w:rsidP="00852BE9">
      <w:pPr>
        <w:spacing w:line="480" w:lineRule="auto"/>
        <w:ind w:left="360" w:hanging="360"/>
        <w:jc w:val="both"/>
        <w:rPr>
          <w:bCs/>
        </w:rPr>
      </w:pPr>
    </w:p>
    <w:p w14:paraId="0A787368" w14:textId="77777777" w:rsidR="00547EA0" w:rsidRDefault="00547EA0" w:rsidP="00852BE9">
      <w:pPr>
        <w:spacing w:line="480" w:lineRule="auto"/>
        <w:ind w:left="360" w:hanging="360"/>
        <w:jc w:val="both"/>
        <w:rPr>
          <w:bCs/>
        </w:rPr>
      </w:pPr>
    </w:p>
    <w:p w14:paraId="49F01953" w14:textId="77777777" w:rsidR="00547EA0" w:rsidRDefault="00547EA0" w:rsidP="00852BE9">
      <w:pPr>
        <w:spacing w:line="480" w:lineRule="auto"/>
        <w:ind w:left="360" w:hanging="360"/>
        <w:jc w:val="both"/>
        <w:rPr>
          <w:bCs/>
        </w:rPr>
      </w:pPr>
    </w:p>
    <w:p w14:paraId="1B085601" w14:textId="77777777" w:rsidR="00547EA0" w:rsidRDefault="00547EA0" w:rsidP="00852BE9">
      <w:pPr>
        <w:spacing w:line="480" w:lineRule="auto"/>
        <w:ind w:left="360" w:hanging="360"/>
        <w:jc w:val="both"/>
        <w:rPr>
          <w:bCs/>
        </w:rPr>
      </w:pPr>
    </w:p>
    <w:p w14:paraId="29D81777" w14:textId="77777777" w:rsidR="00547EA0" w:rsidRDefault="00547EA0" w:rsidP="00852BE9">
      <w:pPr>
        <w:spacing w:line="480" w:lineRule="auto"/>
        <w:ind w:left="360" w:hanging="360"/>
        <w:jc w:val="both"/>
        <w:rPr>
          <w:bCs/>
        </w:rPr>
      </w:pPr>
    </w:p>
    <w:p w14:paraId="316F974B" w14:textId="595DEEA6" w:rsidR="00C47BE7" w:rsidRPr="00547EA0" w:rsidRDefault="00C47BE7" w:rsidP="00852BE9">
      <w:pPr>
        <w:spacing w:line="480" w:lineRule="auto"/>
        <w:ind w:left="360" w:hanging="360"/>
        <w:jc w:val="both"/>
        <w:rPr>
          <w:bCs/>
        </w:rPr>
      </w:pPr>
      <w:r w:rsidRPr="00547EA0">
        <w:rPr>
          <w:bCs/>
        </w:rPr>
        <w:t>4.1</w:t>
      </w:r>
      <w:r w:rsidRPr="00547EA0">
        <w:rPr>
          <w:b/>
          <w:bCs/>
        </w:rPr>
        <w:t xml:space="preserve"> Trust Deed Law and Practice in Nigeria</w:t>
      </w:r>
    </w:p>
    <w:p w14:paraId="5B24A180" w14:textId="77777777" w:rsidR="00793B5D" w:rsidRPr="00547EA0" w:rsidRDefault="00C47BE7" w:rsidP="00852BE9">
      <w:pPr>
        <w:spacing w:line="480" w:lineRule="auto"/>
        <w:ind w:left="360" w:hanging="360"/>
        <w:jc w:val="both"/>
        <w:rPr>
          <w:color w:val="000000"/>
          <w:shd w:val="clear" w:color="auto" w:fill="FFFFFF"/>
        </w:rPr>
      </w:pPr>
      <w:r w:rsidRPr="00547EA0">
        <w:rPr>
          <w:color w:val="000000"/>
          <w:shd w:val="clear" w:color="auto" w:fill="FFFFFF"/>
        </w:rPr>
        <w:t xml:space="preserve">       </w:t>
      </w:r>
    </w:p>
    <w:p w14:paraId="71808148" w14:textId="0CE3C02B" w:rsidR="00793B5D" w:rsidRPr="00547EA0" w:rsidRDefault="004B1A3D" w:rsidP="00852BE9">
      <w:pPr>
        <w:spacing w:line="480" w:lineRule="auto"/>
        <w:ind w:left="360"/>
        <w:jc w:val="both"/>
        <w:rPr>
          <w:color w:val="000000"/>
          <w:shd w:val="clear" w:color="auto" w:fill="FFFFFF"/>
        </w:rPr>
      </w:pPr>
      <w:r w:rsidRPr="00547EA0">
        <w:rPr>
          <w:color w:val="000000"/>
          <w:shd w:val="clear" w:color="auto" w:fill="FFFFFF"/>
        </w:rPr>
        <w:lastRenderedPageBreak/>
        <w:t>Trust deeds in Nigeria are primarily go</w:t>
      </w:r>
      <w:r w:rsidR="003E1D3E" w:rsidRPr="00547EA0">
        <w:rPr>
          <w:color w:val="000000"/>
          <w:shd w:val="clear" w:color="auto" w:fill="FFFFFF"/>
        </w:rPr>
        <w:t>verned by the Companies and Allied Matters Act (CAMA) 2020</w:t>
      </w:r>
      <w:r w:rsidR="003E1D3E" w:rsidRPr="00547EA0">
        <w:rPr>
          <w:rStyle w:val="FootnoteReference"/>
          <w:color w:val="000000"/>
          <w:shd w:val="clear" w:color="auto" w:fill="FFFFFF"/>
        </w:rPr>
        <w:footnoteReference w:id="64"/>
      </w:r>
      <w:r w:rsidR="003E1D3E" w:rsidRPr="00547EA0">
        <w:rPr>
          <w:color w:val="000000"/>
          <w:shd w:val="clear" w:color="auto" w:fill="FFFFFF"/>
        </w:rPr>
        <w:t xml:space="preserve"> and the Investment and Securities Act (ISA) 2007.</w:t>
      </w:r>
      <w:r w:rsidR="003E1D3E" w:rsidRPr="00547EA0">
        <w:rPr>
          <w:rStyle w:val="FootnoteReference"/>
          <w:color w:val="000000"/>
          <w:shd w:val="clear" w:color="auto" w:fill="FFFFFF"/>
        </w:rPr>
        <w:footnoteReference w:id="65"/>
      </w:r>
      <w:r w:rsidR="003E1D3E" w:rsidRPr="00547EA0">
        <w:rPr>
          <w:color w:val="000000"/>
          <w:shd w:val="clear" w:color="auto" w:fill="FFFFFF"/>
        </w:rPr>
        <w:t xml:space="preserve"> </w:t>
      </w:r>
      <w:r w:rsidR="00C6220B" w:rsidRPr="00547EA0">
        <w:rPr>
          <w:color w:val="000000"/>
          <w:shd w:val="clear" w:color="auto" w:fill="FFFFFF"/>
        </w:rPr>
        <w:t>Both statutes</w:t>
      </w:r>
      <w:r w:rsidR="00CA788B" w:rsidRPr="00547EA0">
        <w:rPr>
          <w:color w:val="000000"/>
          <w:shd w:val="clear" w:color="auto" w:fill="FFFFFF"/>
        </w:rPr>
        <w:t xml:space="preserve"> contain provisions which regulates debentures, debenture trust deed, debenture trustees, charges and registration of charges. </w:t>
      </w:r>
      <w:r w:rsidR="00C6220B" w:rsidRPr="00547EA0">
        <w:rPr>
          <w:color w:val="000000"/>
          <w:shd w:val="clear" w:color="auto" w:fill="FFFFFF"/>
        </w:rPr>
        <w:t>For example</w:t>
      </w:r>
      <w:r w:rsidR="00CA788B" w:rsidRPr="00547EA0">
        <w:rPr>
          <w:color w:val="000000"/>
          <w:shd w:val="clear" w:color="auto" w:fill="FFFFFF"/>
        </w:rPr>
        <w:t xml:space="preserve">, the Investment and Securities Act </w:t>
      </w:r>
      <w:r w:rsidR="00C6220B" w:rsidRPr="00547EA0">
        <w:rPr>
          <w:color w:val="000000"/>
          <w:shd w:val="clear" w:color="auto" w:fill="FFFFFF"/>
        </w:rPr>
        <w:t xml:space="preserve">legally </w:t>
      </w:r>
      <w:r w:rsidR="00CA788B" w:rsidRPr="00547EA0">
        <w:rPr>
          <w:color w:val="000000"/>
          <w:shd w:val="clear" w:color="auto" w:fill="FFFFFF"/>
        </w:rPr>
        <w:t xml:space="preserve">requires </w:t>
      </w:r>
      <w:r w:rsidR="00CA788B" w:rsidRPr="00547EA0">
        <w:rPr>
          <w:rFonts w:ascii="Tahoma" w:hAnsi="Tahoma" w:cs="Tahoma"/>
          <w:color w:val="000000"/>
          <w:shd w:val="clear" w:color="auto" w:fill="FFFFFF"/>
        </w:rPr>
        <w:t>﻿</w:t>
      </w:r>
      <w:r w:rsidR="00C6220B" w:rsidRPr="00547EA0">
        <w:rPr>
          <w:color w:val="000000"/>
          <w:shd w:val="clear" w:color="auto" w:fill="FFFFFF"/>
        </w:rPr>
        <w:t xml:space="preserve">debenture securities issuance </w:t>
      </w:r>
      <w:r w:rsidR="00CA788B" w:rsidRPr="00547EA0">
        <w:rPr>
          <w:color w:val="000000"/>
          <w:shd w:val="clear" w:color="auto" w:fill="FFFFFF"/>
        </w:rPr>
        <w:t>t</w:t>
      </w:r>
      <w:r w:rsidR="00C6220B" w:rsidRPr="00547EA0">
        <w:rPr>
          <w:color w:val="000000"/>
          <w:shd w:val="clear" w:color="auto" w:fill="FFFFFF"/>
        </w:rPr>
        <w:t xml:space="preserve">o be </w:t>
      </w:r>
      <w:r w:rsidR="00CA788B" w:rsidRPr="00547EA0">
        <w:rPr>
          <w:color w:val="000000"/>
          <w:shd w:val="clear" w:color="auto" w:fill="FFFFFF"/>
        </w:rPr>
        <w:t>accompanied with a trust deed</w:t>
      </w:r>
      <w:r w:rsidR="003E1D3E" w:rsidRPr="00547EA0">
        <w:rPr>
          <w:color w:val="000000"/>
          <w:shd w:val="clear" w:color="auto" w:fill="FFFFFF"/>
        </w:rPr>
        <w:t xml:space="preserve"> debenture</w:t>
      </w:r>
      <w:r w:rsidR="00C6220B" w:rsidRPr="00547EA0">
        <w:rPr>
          <w:rStyle w:val="FootnoteReference"/>
          <w:color w:val="000000"/>
          <w:shd w:val="clear" w:color="auto" w:fill="FFFFFF"/>
        </w:rPr>
        <w:footnoteReference w:id="66"/>
      </w:r>
      <w:r w:rsidR="003E1D3E" w:rsidRPr="00547EA0">
        <w:rPr>
          <w:color w:val="000000"/>
          <w:shd w:val="clear" w:color="auto" w:fill="FFFFFF"/>
        </w:rPr>
        <w:t xml:space="preserve">. </w:t>
      </w:r>
    </w:p>
    <w:p w14:paraId="57F54DAE" w14:textId="77777777" w:rsidR="00793B5D" w:rsidRPr="00547EA0" w:rsidRDefault="00793B5D" w:rsidP="00852BE9">
      <w:pPr>
        <w:spacing w:line="480" w:lineRule="auto"/>
        <w:ind w:left="360"/>
        <w:jc w:val="both"/>
        <w:rPr>
          <w:color w:val="000000"/>
          <w:shd w:val="clear" w:color="auto" w:fill="FFFFFF"/>
        </w:rPr>
      </w:pPr>
    </w:p>
    <w:p w14:paraId="261CBD8D" w14:textId="64D85320" w:rsidR="00793B5D" w:rsidRPr="00547EA0" w:rsidRDefault="00C6220B" w:rsidP="00852BE9">
      <w:pPr>
        <w:spacing w:line="480" w:lineRule="auto"/>
        <w:ind w:left="360"/>
        <w:jc w:val="both"/>
        <w:rPr>
          <w:color w:val="000000"/>
          <w:shd w:val="clear" w:color="auto" w:fill="FFFFFF"/>
        </w:rPr>
      </w:pPr>
      <w:r w:rsidRPr="00547EA0">
        <w:rPr>
          <w:color w:val="000000"/>
          <w:shd w:val="clear" w:color="auto" w:fill="FFFFFF"/>
        </w:rPr>
        <w:t>Under CAMA,</w:t>
      </w:r>
      <w:r w:rsidR="00793B5D" w:rsidRPr="00547EA0">
        <w:rPr>
          <w:color w:val="000000"/>
          <w:shd w:val="clear" w:color="auto" w:fill="FFFFFF"/>
        </w:rPr>
        <w:t xml:space="preserve"> the role of trustees in safeguarding the rights of debenture holders and exercising said rights, powers and discretions conferred upon him by the trust deed for the benefit of the debenture holders</w:t>
      </w:r>
      <w:r w:rsidRPr="00547EA0">
        <w:rPr>
          <w:color w:val="000000"/>
          <w:shd w:val="clear" w:color="auto" w:fill="FFFFFF"/>
        </w:rPr>
        <w:t xml:space="preserve"> is clearly stipulated</w:t>
      </w:r>
      <w:r w:rsidR="00793B5D" w:rsidRPr="00547EA0">
        <w:rPr>
          <w:rStyle w:val="FootnoteReference"/>
          <w:color w:val="000000"/>
          <w:shd w:val="clear" w:color="auto" w:fill="FFFFFF"/>
        </w:rPr>
        <w:footnoteReference w:id="67"/>
      </w:r>
      <w:r w:rsidR="00793B5D" w:rsidRPr="00547EA0">
        <w:rPr>
          <w:color w:val="000000"/>
          <w:shd w:val="clear" w:color="auto" w:fill="FFFFFF"/>
        </w:rPr>
        <w:t>.</w:t>
      </w:r>
      <w:r w:rsidRPr="00547EA0">
        <w:rPr>
          <w:color w:val="000000"/>
          <w:shd w:val="clear" w:color="auto" w:fill="FFFFFF"/>
        </w:rPr>
        <w:t xml:space="preserve"> </w:t>
      </w:r>
      <w:r w:rsidR="00052F5C" w:rsidRPr="00547EA0">
        <w:rPr>
          <w:color w:val="000000"/>
          <w:shd w:val="clear" w:color="auto" w:fill="FFFFFF"/>
        </w:rPr>
        <w:t>While t</w:t>
      </w:r>
      <w:r w:rsidRPr="00547EA0">
        <w:rPr>
          <w:color w:val="000000"/>
          <w:shd w:val="clear" w:color="auto" w:fill="FFFFFF"/>
        </w:rPr>
        <w:t xml:space="preserve">his provision </w:t>
      </w:r>
      <w:r w:rsidR="001406C7" w:rsidRPr="00547EA0">
        <w:rPr>
          <w:color w:val="000000"/>
          <w:shd w:val="clear" w:color="auto" w:fill="FFFFFF"/>
        </w:rPr>
        <w:t xml:space="preserve">is designed to </w:t>
      </w:r>
      <w:r w:rsidR="00052F5C" w:rsidRPr="00547EA0">
        <w:rPr>
          <w:color w:val="000000"/>
          <w:shd w:val="clear" w:color="auto" w:fill="FFFFFF"/>
        </w:rPr>
        <w:t>make it seem like</w:t>
      </w:r>
      <w:r w:rsidR="001406C7" w:rsidRPr="00547EA0">
        <w:rPr>
          <w:color w:val="000000"/>
          <w:shd w:val="clear" w:color="auto" w:fill="FFFFFF"/>
        </w:rPr>
        <w:t xml:space="preserve"> </w:t>
      </w:r>
      <w:r w:rsidR="00052F5C" w:rsidRPr="00547EA0">
        <w:rPr>
          <w:color w:val="000000"/>
          <w:shd w:val="clear" w:color="auto" w:fill="FFFFFF"/>
        </w:rPr>
        <w:t>the trustee owes a</w:t>
      </w:r>
      <w:r w:rsidR="001406C7" w:rsidRPr="00547EA0">
        <w:rPr>
          <w:color w:val="000000"/>
          <w:shd w:val="clear" w:color="auto" w:fill="FFFFFF"/>
        </w:rPr>
        <w:t xml:space="preserve"> fiduciary </w:t>
      </w:r>
      <w:r w:rsidR="00052F5C" w:rsidRPr="00547EA0">
        <w:rPr>
          <w:color w:val="000000"/>
          <w:shd w:val="clear" w:color="auto" w:fill="FFFFFF"/>
        </w:rPr>
        <w:t>duty to the debenture holders</w:t>
      </w:r>
      <w:r w:rsidR="001406C7" w:rsidRPr="00547EA0">
        <w:rPr>
          <w:color w:val="000000"/>
          <w:shd w:val="clear" w:color="auto" w:fill="FFFFFF"/>
        </w:rPr>
        <w:t xml:space="preserve">, </w:t>
      </w:r>
      <w:r w:rsidR="00052F5C" w:rsidRPr="00547EA0">
        <w:rPr>
          <w:rFonts w:ascii="Tahoma" w:hAnsi="Tahoma" w:cs="Tahoma"/>
          <w:color w:val="000000"/>
          <w:shd w:val="clear" w:color="auto" w:fill="FFFFFF"/>
        </w:rPr>
        <w:t>﻿</w:t>
      </w:r>
      <w:r w:rsidR="00052F5C" w:rsidRPr="00547EA0">
        <w:t xml:space="preserve"> the </w:t>
      </w:r>
      <w:r w:rsidR="00052F5C" w:rsidRPr="00547EA0">
        <w:rPr>
          <w:rFonts w:ascii="Tahoma" w:hAnsi="Tahoma" w:cs="Tahoma"/>
          <w:color w:val="000000"/>
          <w:shd w:val="clear" w:color="auto" w:fill="FFFFFF"/>
        </w:rPr>
        <w:t>﻿</w:t>
      </w:r>
      <w:r w:rsidR="00052F5C" w:rsidRPr="00547EA0">
        <w:rPr>
          <w:color w:val="000000"/>
          <w:shd w:val="clear" w:color="auto" w:fill="FFFFFF"/>
        </w:rPr>
        <w:t xml:space="preserve">common law concept of fiduciary duty </w:t>
      </w:r>
      <w:r w:rsidR="0061749B" w:rsidRPr="00547EA0">
        <w:rPr>
          <w:color w:val="000000"/>
          <w:shd w:val="clear" w:color="auto" w:fill="FFFFFF"/>
        </w:rPr>
        <w:t>is actually unavailable</w:t>
      </w:r>
      <w:r w:rsidR="00052F5C" w:rsidRPr="00547EA0">
        <w:rPr>
          <w:color w:val="000000"/>
          <w:shd w:val="clear" w:color="auto" w:fill="FFFFFF"/>
        </w:rPr>
        <w:t xml:space="preserve"> to </w:t>
      </w:r>
      <w:r w:rsidR="0061749B" w:rsidRPr="00547EA0">
        <w:rPr>
          <w:color w:val="000000"/>
          <w:shd w:val="clear" w:color="auto" w:fill="FFFFFF"/>
        </w:rPr>
        <w:t>debenture holders in Nigeria.</w:t>
      </w:r>
      <w:r w:rsidR="00052F5C" w:rsidRPr="00547EA0">
        <w:rPr>
          <w:color w:val="000000"/>
          <w:shd w:val="clear" w:color="auto" w:fill="FFFFFF"/>
        </w:rPr>
        <w:t xml:space="preserve"> </w:t>
      </w:r>
      <w:r w:rsidR="0061749B" w:rsidRPr="00547EA0">
        <w:rPr>
          <w:color w:val="000000"/>
          <w:shd w:val="clear" w:color="auto" w:fill="FFFFFF"/>
        </w:rPr>
        <w:t>Thi</w:t>
      </w:r>
      <w:r w:rsidR="00052F5C" w:rsidRPr="00547EA0">
        <w:rPr>
          <w:color w:val="000000"/>
          <w:shd w:val="clear" w:color="auto" w:fill="FFFFFF"/>
        </w:rPr>
        <w:t xml:space="preserve">s </w:t>
      </w:r>
      <w:r w:rsidR="0061749B" w:rsidRPr="00547EA0">
        <w:rPr>
          <w:color w:val="000000"/>
          <w:shd w:val="clear" w:color="auto" w:fill="FFFFFF"/>
        </w:rPr>
        <w:t>is because</w:t>
      </w:r>
      <w:r w:rsidR="00052F5C" w:rsidRPr="00547EA0">
        <w:rPr>
          <w:color w:val="000000"/>
          <w:shd w:val="clear" w:color="auto" w:fill="FFFFFF"/>
        </w:rPr>
        <w:t xml:space="preserve"> trust is not of wide use in Nigeria </w:t>
      </w:r>
      <w:r w:rsidR="0061749B" w:rsidRPr="00547EA0">
        <w:rPr>
          <w:color w:val="000000"/>
          <w:shd w:val="clear" w:color="auto" w:fill="FFFFFF"/>
        </w:rPr>
        <w:t xml:space="preserve">and </w:t>
      </w:r>
      <w:r w:rsidR="00052F5C" w:rsidRPr="00547EA0">
        <w:rPr>
          <w:color w:val="000000"/>
          <w:shd w:val="clear" w:color="auto" w:fill="FFFFFF"/>
        </w:rPr>
        <w:t>the trust structure is driven by peculiar tax and accounting laws in the US which have no application, in Nigeria.</w:t>
      </w:r>
      <w:r w:rsidR="001C4570" w:rsidRPr="00547EA0">
        <w:rPr>
          <w:color w:val="000000"/>
          <w:shd w:val="clear" w:color="auto" w:fill="FFFFFF"/>
        </w:rPr>
        <w:t xml:space="preserve"> </w:t>
      </w:r>
      <w:r w:rsidR="0061749B" w:rsidRPr="00547EA0">
        <w:rPr>
          <w:color w:val="000000"/>
          <w:shd w:val="clear" w:color="auto" w:fill="FFFFFF"/>
        </w:rPr>
        <w:t>There is no legal framework which specifically regulates trust deeds in Nigeria. Reliance on general provisions of company legislation to offer guidance on investor covenants, for example, demonstrate the lack of legislative protection for the rights of debenture holders with its devastating effects for Nigeria’s capital market</w:t>
      </w:r>
      <w:r w:rsidR="00583B53" w:rsidRPr="00547EA0">
        <w:rPr>
          <w:color w:val="000000"/>
          <w:shd w:val="clear" w:color="auto" w:fill="FFFFFF"/>
        </w:rPr>
        <w:t>.</w:t>
      </w:r>
      <w:r w:rsidR="001C4570" w:rsidRPr="00547EA0">
        <w:rPr>
          <w:color w:val="000000"/>
          <w:shd w:val="clear" w:color="auto" w:fill="FFFFFF"/>
        </w:rPr>
        <w:t xml:space="preserve">  </w:t>
      </w:r>
      <w:r w:rsidR="001406C7" w:rsidRPr="00547EA0">
        <w:rPr>
          <w:color w:val="000000"/>
          <w:shd w:val="clear" w:color="auto" w:fill="FFFFFF"/>
        </w:rPr>
        <w:t xml:space="preserve"> </w:t>
      </w:r>
    </w:p>
    <w:p w14:paraId="27DCD5D5" w14:textId="77777777" w:rsidR="00793B5D" w:rsidRPr="00547EA0" w:rsidRDefault="00793B5D" w:rsidP="00852BE9">
      <w:pPr>
        <w:spacing w:line="480" w:lineRule="auto"/>
        <w:ind w:left="360"/>
        <w:jc w:val="both"/>
        <w:rPr>
          <w:color w:val="000000"/>
          <w:shd w:val="clear" w:color="auto" w:fill="FFFFFF"/>
        </w:rPr>
      </w:pPr>
    </w:p>
    <w:p w14:paraId="23DF13C2" w14:textId="0255E6FB" w:rsidR="005F456D" w:rsidRPr="00547EA0" w:rsidRDefault="00583B53" w:rsidP="00852BE9">
      <w:pPr>
        <w:spacing w:line="480" w:lineRule="auto"/>
        <w:ind w:left="360"/>
        <w:jc w:val="both"/>
        <w:rPr>
          <w:color w:val="000000"/>
          <w:shd w:val="clear" w:color="auto" w:fill="FFFFFF"/>
        </w:rPr>
      </w:pPr>
      <w:r w:rsidRPr="00547EA0">
        <w:rPr>
          <w:rFonts w:ascii="Tahoma" w:hAnsi="Tahoma" w:cs="Tahoma"/>
          <w:color w:val="000000"/>
          <w:shd w:val="clear" w:color="auto" w:fill="FFFFFF"/>
        </w:rPr>
        <w:t>﻿</w:t>
      </w:r>
      <w:r w:rsidR="0061749B" w:rsidRPr="00547EA0">
        <w:rPr>
          <w:color w:val="000000"/>
          <w:shd w:val="clear" w:color="auto" w:fill="FFFFFF"/>
        </w:rPr>
        <w:t>Meanwhile</w:t>
      </w:r>
      <w:r w:rsidR="007B7155" w:rsidRPr="00547EA0">
        <w:rPr>
          <w:color w:val="000000"/>
          <w:shd w:val="clear" w:color="auto" w:fill="FFFFFF"/>
        </w:rPr>
        <w:t xml:space="preserve"> for trust deed registration </w:t>
      </w:r>
      <w:r w:rsidR="0061749B" w:rsidRPr="00547EA0">
        <w:rPr>
          <w:color w:val="000000"/>
          <w:shd w:val="clear" w:color="auto" w:fill="FFFFFF"/>
        </w:rPr>
        <w:t>u</w:t>
      </w:r>
      <w:r w:rsidR="00863464" w:rsidRPr="00547EA0">
        <w:rPr>
          <w:color w:val="000000"/>
          <w:shd w:val="clear" w:color="auto" w:fill="FFFFFF"/>
        </w:rPr>
        <w:t xml:space="preserve">nder </w:t>
      </w:r>
      <w:r w:rsidR="0061749B" w:rsidRPr="00547EA0">
        <w:rPr>
          <w:color w:val="000000"/>
          <w:shd w:val="clear" w:color="auto" w:fill="FFFFFF"/>
        </w:rPr>
        <w:t xml:space="preserve">extant </w:t>
      </w:r>
      <w:r w:rsidR="00863464" w:rsidRPr="00547EA0">
        <w:rPr>
          <w:color w:val="000000"/>
          <w:shd w:val="clear" w:color="auto" w:fill="FFFFFF"/>
        </w:rPr>
        <w:t xml:space="preserve">Nigerian Law, </w:t>
      </w:r>
      <w:r w:rsidR="00520355" w:rsidRPr="00547EA0">
        <w:rPr>
          <w:rFonts w:ascii="Tahoma" w:hAnsi="Tahoma" w:cs="Tahoma"/>
          <w:color w:val="000000"/>
          <w:shd w:val="clear" w:color="auto" w:fill="FFFFFF"/>
        </w:rPr>
        <w:t>﻿</w:t>
      </w:r>
      <w:r w:rsidR="00520355" w:rsidRPr="00547EA0">
        <w:rPr>
          <w:color w:val="000000"/>
          <w:shd w:val="clear" w:color="auto" w:fill="FFFFFF"/>
        </w:rPr>
        <w:t xml:space="preserve">a company is also required to keep </w:t>
      </w:r>
      <w:r w:rsidR="007B7155" w:rsidRPr="00547EA0">
        <w:rPr>
          <w:color w:val="000000"/>
          <w:shd w:val="clear" w:color="auto" w:fill="FFFFFF"/>
        </w:rPr>
        <w:t xml:space="preserve">a </w:t>
      </w:r>
      <w:r w:rsidR="00520355" w:rsidRPr="00547EA0">
        <w:rPr>
          <w:color w:val="000000"/>
          <w:shd w:val="clear" w:color="auto" w:fill="FFFFFF"/>
        </w:rPr>
        <w:t>register of debenture holders</w:t>
      </w:r>
      <w:r w:rsidR="00520355" w:rsidRPr="00547EA0">
        <w:rPr>
          <w:rStyle w:val="FootnoteReference"/>
          <w:color w:val="000000"/>
          <w:shd w:val="clear" w:color="auto" w:fill="FFFFFF"/>
        </w:rPr>
        <w:footnoteReference w:id="68"/>
      </w:r>
      <w:r w:rsidR="00520355" w:rsidRPr="00547EA0">
        <w:rPr>
          <w:color w:val="000000"/>
          <w:shd w:val="clear" w:color="auto" w:fill="FFFFFF"/>
        </w:rPr>
        <w:t xml:space="preserve"> which register shall contain certain specific </w:t>
      </w:r>
      <w:r w:rsidR="00520355" w:rsidRPr="00547EA0">
        <w:rPr>
          <w:color w:val="000000"/>
          <w:shd w:val="clear" w:color="auto" w:fill="FFFFFF"/>
        </w:rPr>
        <w:lastRenderedPageBreak/>
        <w:t>information</w:t>
      </w:r>
      <w:r w:rsidR="00520355" w:rsidRPr="00547EA0">
        <w:rPr>
          <w:rStyle w:val="FootnoteReference"/>
          <w:color w:val="000000"/>
          <w:shd w:val="clear" w:color="auto" w:fill="FFFFFF"/>
        </w:rPr>
        <w:footnoteReference w:id="69"/>
      </w:r>
      <w:r w:rsidR="00520355" w:rsidRPr="00547EA0">
        <w:rPr>
          <w:color w:val="000000"/>
          <w:shd w:val="clear" w:color="auto" w:fill="FFFFFF"/>
        </w:rPr>
        <w:t xml:space="preserve">. Yet, these provisions have no effect on the </w:t>
      </w:r>
      <w:r w:rsidR="00520355" w:rsidRPr="00547EA0">
        <w:rPr>
          <w:rFonts w:ascii="Tahoma" w:hAnsi="Tahoma" w:cs="Tahoma"/>
          <w:color w:val="000000"/>
          <w:shd w:val="clear" w:color="auto" w:fill="FFFFFF"/>
        </w:rPr>
        <w:t>﻿</w:t>
      </w:r>
      <w:r w:rsidR="00520355" w:rsidRPr="00547EA0">
        <w:rPr>
          <w:color w:val="000000"/>
          <w:shd w:val="clear" w:color="auto" w:fill="FFFFFF"/>
        </w:rPr>
        <w:t xml:space="preserve">perfection of security interests that have been created by a company in </w:t>
      </w:r>
      <w:proofErr w:type="spellStart"/>
      <w:r w:rsidR="00520355" w:rsidRPr="00547EA0">
        <w:rPr>
          <w:color w:val="000000"/>
          <w:shd w:val="clear" w:color="auto" w:fill="FFFFFF"/>
        </w:rPr>
        <w:t>favour</w:t>
      </w:r>
      <w:proofErr w:type="spellEnd"/>
      <w:r w:rsidR="00520355" w:rsidRPr="00547EA0">
        <w:rPr>
          <w:color w:val="000000"/>
          <w:shd w:val="clear" w:color="auto" w:fill="FFFFFF"/>
        </w:rPr>
        <w:t xml:space="preserve"> of a secured trust</w:t>
      </w:r>
      <w:r w:rsidR="0080496F" w:rsidRPr="00547EA0">
        <w:rPr>
          <w:color w:val="000000"/>
          <w:shd w:val="clear" w:color="auto" w:fill="FFFFFF"/>
        </w:rPr>
        <w:t xml:space="preserve"> deed</w:t>
      </w:r>
      <w:r w:rsidR="00520355" w:rsidRPr="00547EA0">
        <w:rPr>
          <w:color w:val="000000"/>
          <w:shd w:val="clear" w:color="auto" w:fill="FFFFFF"/>
        </w:rPr>
        <w:t>.</w:t>
      </w:r>
      <w:r w:rsidR="0080496F" w:rsidRPr="00547EA0">
        <w:rPr>
          <w:color w:val="000000"/>
          <w:shd w:val="clear" w:color="auto" w:fill="FFFFFF"/>
        </w:rPr>
        <w:t xml:space="preserve"> T</w:t>
      </w:r>
      <w:r w:rsidR="00863464" w:rsidRPr="00547EA0">
        <w:rPr>
          <w:color w:val="000000"/>
          <w:shd w:val="clear" w:color="auto" w:fill="FFFFFF"/>
        </w:rPr>
        <w:t xml:space="preserve">he mode of perfection of security interests in company charges is by way of registration under CAMA. </w:t>
      </w:r>
      <w:r w:rsidRPr="00547EA0">
        <w:rPr>
          <w:color w:val="000000"/>
          <w:shd w:val="clear" w:color="auto" w:fill="FFFFFF"/>
        </w:rPr>
        <w:t xml:space="preserve">Section </w:t>
      </w:r>
      <w:r w:rsidR="00975888" w:rsidRPr="00547EA0">
        <w:rPr>
          <w:color w:val="000000"/>
          <w:shd w:val="clear" w:color="auto" w:fill="FFFFFF"/>
        </w:rPr>
        <w:t xml:space="preserve">222 </w:t>
      </w:r>
      <w:r w:rsidRPr="00547EA0">
        <w:rPr>
          <w:color w:val="000000"/>
          <w:shd w:val="clear" w:color="auto" w:fill="FFFFFF"/>
        </w:rPr>
        <w:t xml:space="preserve">(1) of CAMA provides that where a company creates on its property any of the charges specified in that section, the company must, within ninety days of the creation, deliver to the </w:t>
      </w:r>
      <w:r w:rsidR="00975888" w:rsidRPr="00547EA0">
        <w:rPr>
          <w:color w:val="000000"/>
          <w:shd w:val="clear" w:color="auto" w:fill="FFFFFF"/>
        </w:rPr>
        <w:t xml:space="preserve">Corporate Affairs </w:t>
      </w:r>
      <w:r w:rsidRPr="00547EA0">
        <w:rPr>
          <w:color w:val="000000"/>
          <w:shd w:val="clear" w:color="auto" w:fill="FFFFFF"/>
        </w:rPr>
        <w:t>Commission</w:t>
      </w:r>
      <w:r w:rsidR="00975888" w:rsidRPr="00547EA0">
        <w:rPr>
          <w:color w:val="000000"/>
          <w:shd w:val="clear" w:color="auto" w:fill="FFFFFF"/>
        </w:rPr>
        <w:t xml:space="preserve"> (CAC)</w:t>
      </w:r>
      <w:r w:rsidRPr="00547EA0">
        <w:rPr>
          <w:color w:val="000000"/>
          <w:shd w:val="clear" w:color="auto" w:fill="FFFFFF"/>
        </w:rPr>
        <w:t xml:space="preserve"> for registration certain prescribed particulars of the charges. The </w:t>
      </w:r>
      <w:r w:rsidR="00975888" w:rsidRPr="00547EA0">
        <w:rPr>
          <w:color w:val="000000"/>
          <w:shd w:val="clear" w:color="auto" w:fill="FFFFFF"/>
        </w:rPr>
        <w:t>wide array of</w:t>
      </w:r>
      <w:r w:rsidRPr="00547EA0">
        <w:rPr>
          <w:color w:val="000000"/>
          <w:shd w:val="clear" w:color="auto" w:fill="FFFFFF"/>
        </w:rPr>
        <w:t xml:space="preserve"> charges for which </w:t>
      </w:r>
      <w:r w:rsidR="00975888" w:rsidRPr="00547EA0">
        <w:rPr>
          <w:color w:val="000000"/>
          <w:shd w:val="clear" w:color="auto" w:fill="FFFFFF"/>
        </w:rPr>
        <w:t xml:space="preserve">registration with the Commission </w:t>
      </w:r>
      <w:r w:rsidRPr="00547EA0">
        <w:rPr>
          <w:color w:val="000000"/>
          <w:shd w:val="clear" w:color="auto" w:fill="FFFFFF"/>
        </w:rPr>
        <w:t>is required have also been provided under CAMA</w:t>
      </w:r>
      <w:r w:rsidR="00975888" w:rsidRPr="00547EA0">
        <w:rPr>
          <w:rStyle w:val="FootnoteReference"/>
          <w:color w:val="000000"/>
          <w:shd w:val="clear" w:color="auto" w:fill="FFFFFF"/>
        </w:rPr>
        <w:footnoteReference w:id="70"/>
      </w:r>
      <w:r w:rsidRPr="00547EA0">
        <w:rPr>
          <w:color w:val="000000"/>
          <w:shd w:val="clear" w:color="auto" w:fill="FFFFFF"/>
        </w:rPr>
        <w:t xml:space="preserve">. </w:t>
      </w:r>
      <w:r w:rsidR="004B0249" w:rsidRPr="00547EA0">
        <w:rPr>
          <w:color w:val="000000"/>
          <w:shd w:val="clear" w:color="auto" w:fill="FFFFFF"/>
        </w:rPr>
        <w:t>These provisions are important and are meant to enhance transparency and security for creditors. By mandating the registration of trust deeds, the law ensures that such are publicly accessible, thereby protecting the interests of both company and the debenture trustee, who acts for all debenture holders.</w:t>
      </w:r>
      <w:r w:rsidRPr="00547EA0">
        <w:rPr>
          <w:color w:val="000000"/>
          <w:shd w:val="clear" w:color="auto" w:fill="FFFFFF"/>
        </w:rPr>
        <w:t xml:space="preserve"> </w:t>
      </w:r>
    </w:p>
    <w:p w14:paraId="366C8B6F" w14:textId="77777777" w:rsidR="005F456D" w:rsidRPr="00547EA0" w:rsidRDefault="005F456D" w:rsidP="00852BE9">
      <w:pPr>
        <w:spacing w:line="480" w:lineRule="auto"/>
        <w:jc w:val="both"/>
        <w:rPr>
          <w:color w:val="000000"/>
          <w:shd w:val="clear" w:color="auto" w:fill="FFFFFF"/>
        </w:rPr>
      </w:pPr>
    </w:p>
    <w:p w14:paraId="6409F9F8" w14:textId="77777777" w:rsidR="005F456D" w:rsidRPr="00547EA0" w:rsidRDefault="005F456D" w:rsidP="00852BE9">
      <w:pPr>
        <w:spacing w:line="480" w:lineRule="auto"/>
        <w:jc w:val="both"/>
        <w:rPr>
          <w:color w:val="000000"/>
          <w:shd w:val="clear" w:color="auto" w:fill="FFFFFF"/>
        </w:rPr>
      </w:pPr>
    </w:p>
    <w:p w14:paraId="19D02AFB" w14:textId="405C681D" w:rsidR="005F456D" w:rsidRPr="00547EA0" w:rsidRDefault="00415EE3" w:rsidP="00852BE9">
      <w:pPr>
        <w:spacing w:line="480" w:lineRule="auto"/>
        <w:ind w:left="360"/>
        <w:jc w:val="both"/>
        <w:rPr>
          <w:color w:val="000000"/>
          <w:shd w:val="clear" w:color="auto" w:fill="FFFFFF"/>
        </w:rPr>
      </w:pPr>
      <w:r w:rsidRPr="00547EA0">
        <w:rPr>
          <w:color w:val="000000"/>
          <w:shd w:val="clear" w:color="auto" w:fill="FFFFFF"/>
        </w:rPr>
        <w:t xml:space="preserve">Based on the foregoing analysis, </w:t>
      </w:r>
      <w:r w:rsidR="00C97E3E" w:rsidRPr="00547EA0">
        <w:rPr>
          <w:color w:val="000000"/>
          <w:shd w:val="clear" w:color="auto" w:fill="FFFFFF"/>
        </w:rPr>
        <w:t>one can posit that t</w:t>
      </w:r>
      <w:r w:rsidR="00D32EB9" w:rsidRPr="00547EA0">
        <w:rPr>
          <w:color w:val="000000"/>
          <w:shd w:val="clear" w:color="auto" w:fill="FFFFFF"/>
        </w:rPr>
        <w:t>he imp</w:t>
      </w:r>
      <w:r w:rsidR="00C97E3E" w:rsidRPr="00547EA0">
        <w:rPr>
          <w:color w:val="000000"/>
          <w:shd w:val="clear" w:color="auto" w:fill="FFFFFF"/>
        </w:rPr>
        <w:t xml:space="preserve">act of Nigeria’s legal framework </w:t>
      </w:r>
      <w:r w:rsidR="00406F87" w:rsidRPr="00547EA0">
        <w:rPr>
          <w:color w:val="000000"/>
          <w:shd w:val="clear" w:color="auto" w:fill="FFFFFF"/>
        </w:rPr>
        <w:t>governing</w:t>
      </w:r>
      <w:r w:rsidR="00D32EB9" w:rsidRPr="00547EA0">
        <w:rPr>
          <w:color w:val="000000"/>
          <w:shd w:val="clear" w:color="auto" w:fill="FFFFFF"/>
        </w:rPr>
        <w:t xml:space="preserve"> trust deeds</w:t>
      </w:r>
      <w:r w:rsidR="00406F87" w:rsidRPr="00547EA0">
        <w:rPr>
          <w:color w:val="000000"/>
          <w:shd w:val="clear" w:color="auto" w:fill="FFFFFF"/>
        </w:rPr>
        <w:t xml:space="preserve"> </w:t>
      </w:r>
      <w:r w:rsidR="00C97E3E" w:rsidRPr="00547EA0">
        <w:rPr>
          <w:color w:val="000000"/>
          <w:shd w:val="clear" w:color="auto" w:fill="FFFFFF"/>
        </w:rPr>
        <w:t>is</w:t>
      </w:r>
      <w:r w:rsidR="00D32EB9" w:rsidRPr="00547EA0">
        <w:rPr>
          <w:color w:val="000000"/>
          <w:shd w:val="clear" w:color="auto" w:fill="FFFFFF"/>
        </w:rPr>
        <w:t xml:space="preserve"> heavily reliant on the specific terms contained within the deed.</w:t>
      </w:r>
      <w:r w:rsidR="00406F87" w:rsidRPr="00547EA0">
        <w:rPr>
          <w:color w:val="000000"/>
          <w:shd w:val="clear" w:color="auto" w:fill="FFFFFF"/>
        </w:rPr>
        <w:t xml:space="preserve"> In the absence of a legal compass to guide trustees, stringent covenants can provide significant protection to debenture holders, but their enforceability is contingent on the trustee’s ability to navigate the Nigeria’s legal and regulatory landscape</w:t>
      </w:r>
      <w:r w:rsidR="004D6779" w:rsidRPr="00547EA0">
        <w:rPr>
          <w:color w:val="000000"/>
          <w:shd w:val="clear" w:color="auto" w:fill="FFFFFF"/>
        </w:rPr>
        <w:t>.</w:t>
      </w:r>
      <w:r w:rsidR="00D32EB9" w:rsidRPr="00547EA0">
        <w:rPr>
          <w:color w:val="000000"/>
          <w:shd w:val="clear" w:color="auto" w:fill="FFFFFF"/>
        </w:rPr>
        <w:t xml:space="preserve"> </w:t>
      </w:r>
      <w:r w:rsidR="00406F87" w:rsidRPr="00547EA0">
        <w:rPr>
          <w:color w:val="000000"/>
          <w:shd w:val="clear" w:color="auto" w:fill="FFFFFF"/>
        </w:rPr>
        <w:t xml:space="preserve">The implication of this on debt </w:t>
      </w:r>
      <w:r w:rsidR="00AD2527" w:rsidRPr="00547EA0">
        <w:rPr>
          <w:color w:val="000000"/>
          <w:shd w:val="clear" w:color="auto" w:fill="FFFFFF"/>
        </w:rPr>
        <w:t>governance is</w:t>
      </w:r>
      <w:r w:rsidR="004D6779" w:rsidRPr="00547EA0">
        <w:rPr>
          <w:color w:val="000000"/>
          <w:shd w:val="clear" w:color="auto" w:fill="FFFFFF"/>
        </w:rPr>
        <w:t xml:space="preserve"> </w:t>
      </w:r>
      <w:r w:rsidR="00406F87" w:rsidRPr="00547EA0">
        <w:rPr>
          <w:color w:val="000000"/>
          <w:shd w:val="clear" w:color="auto" w:fill="FFFFFF"/>
        </w:rPr>
        <w:t>th</w:t>
      </w:r>
      <w:r w:rsidR="004D6779" w:rsidRPr="00547EA0">
        <w:rPr>
          <w:color w:val="000000"/>
          <w:shd w:val="clear" w:color="auto" w:fill="FFFFFF"/>
        </w:rPr>
        <w:t xml:space="preserve">at absent a vigorous and </w:t>
      </w:r>
      <w:r w:rsidR="00C32FA3" w:rsidRPr="00547EA0">
        <w:rPr>
          <w:color w:val="000000"/>
          <w:shd w:val="clear" w:color="auto" w:fill="FFFFFF"/>
        </w:rPr>
        <w:t xml:space="preserve">dexterous enforcement by counsel, the debenture </w:t>
      </w:r>
      <w:r w:rsidR="00C32FA3" w:rsidRPr="00547EA0">
        <w:rPr>
          <w:color w:val="000000"/>
          <w:shd w:val="clear" w:color="auto" w:fill="FFFFFF"/>
        </w:rPr>
        <w:lastRenderedPageBreak/>
        <w:t>holders can become victims to savvy corporate managers who will rather shirk their responsibility of meeting their repayment obligations to investors</w:t>
      </w:r>
      <w:r w:rsidR="00D8427A" w:rsidRPr="00547EA0">
        <w:rPr>
          <w:color w:val="000000"/>
          <w:shd w:val="clear" w:color="auto" w:fill="FFFFFF"/>
        </w:rPr>
        <w:t>.</w:t>
      </w:r>
    </w:p>
    <w:p w14:paraId="3E55A858" w14:textId="77777777" w:rsidR="005F456D" w:rsidRPr="00547EA0" w:rsidRDefault="005F456D" w:rsidP="00852BE9">
      <w:pPr>
        <w:spacing w:line="480" w:lineRule="auto"/>
        <w:jc w:val="both"/>
        <w:rPr>
          <w:color w:val="000000"/>
          <w:shd w:val="clear" w:color="auto" w:fill="FFFFFF"/>
        </w:rPr>
      </w:pPr>
    </w:p>
    <w:p w14:paraId="1374119F" w14:textId="620D968E" w:rsidR="00C47BE7" w:rsidRPr="00547EA0" w:rsidRDefault="00C47BE7" w:rsidP="00852BE9">
      <w:pPr>
        <w:spacing w:line="480" w:lineRule="auto"/>
        <w:jc w:val="both"/>
        <w:rPr>
          <w:b/>
          <w:color w:val="000000"/>
          <w:shd w:val="clear" w:color="auto" w:fill="FFFFFF"/>
        </w:rPr>
      </w:pPr>
      <w:r w:rsidRPr="00547EA0">
        <w:rPr>
          <w:color w:val="000000"/>
          <w:shd w:val="clear" w:color="auto" w:fill="FFFFFF"/>
        </w:rPr>
        <w:t xml:space="preserve">4.2 </w:t>
      </w:r>
      <w:r w:rsidRPr="00547EA0">
        <w:rPr>
          <w:b/>
          <w:color w:val="000000"/>
          <w:shd w:val="clear" w:color="auto" w:fill="FFFFFF"/>
        </w:rPr>
        <w:t xml:space="preserve">Comparison </w:t>
      </w:r>
      <w:r w:rsidR="008A4F6D" w:rsidRPr="00547EA0">
        <w:rPr>
          <w:b/>
          <w:color w:val="000000"/>
          <w:shd w:val="clear" w:color="auto" w:fill="FFFFFF"/>
        </w:rPr>
        <w:t xml:space="preserve">of Trust Deed Practices in The </w:t>
      </w:r>
      <w:r w:rsidRPr="00547EA0">
        <w:rPr>
          <w:b/>
          <w:color w:val="000000"/>
          <w:shd w:val="clear" w:color="auto" w:fill="FFFFFF"/>
        </w:rPr>
        <w:t>United States</w:t>
      </w:r>
    </w:p>
    <w:p w14:paraId="210BF5D5" w14:textId="04FDB0CB" w:rsidR="00C47BE7" w:rsidRPr="00547EA0" w:rsidRDefault="00C47BE7" w:rsidP="00852BE9">
      <w:pPr>
        <w:spacing w:line="480" w:lineRule="auto"/>
        <w:ind w:left="360"/>
        <w:jc w:val="both"/>
        <w:rPr>
          <w:bCs/>
        </w:rPr>
      </w:pPr>
      <w:r w:rsidRPr="00547EA0">
        <w:rPr>
          <w:color w:val="000000"/>
          <w:shd w:val="clear" w:color="auto" w:fill="FFFFFF"/>
        </w:rPr>
        <w:t xml:space="preserve"> </w:t>
      </w:r>
    </w:p>
    <w:p w14:paraId="6963E1AE" w14:textId="07CD56DF" w:rsidR="00C47BE7" w:rsidRPr="00547EA0" w:rsidRDefault="00C47BE7" w:rsidP="00852BE9">
      <w:pPr>
        <w:spacing w:line="480" w:lineRule="auto"/>
        <w:ind w:left="360" w:hanging="360"/>
        <w:jc w:val="both"/>
        <w:rPr>
          <w:bCs/>
        </w:rPr>
      </w:pPr>
      <w:r w:rsidRPr="00547EA0">
        <w:rPr>
          <w:b/>
          <w:bCs/>
        </w:rPr>
        <w:t xml:space="preserve">       </w:t>
      </w:r>
      <w:r w:rsidR="00C801C2" w:rsidRPr="00547EA0">
        <w:rPr>
          <w:bCs/>
        </w:rPr>
        <w:t>In contrast, trust deeds in the United States are regulated by the Trust Indenture Act of 1939</w:t>
      </w:r>
      <w:r w:rsidR="00485EA7" w:rsidRPr="00547EA0">
        <w:rPr>
          <w:rStyle w:val="FootnoteReference"/>
          <w:bCs/>
        </w:rPr>
        <w:footnoteReference w:id="71"/>
      </w:r>
      <w:r w:rsidR="00C801C2" w:rsidRPr="00547EA0">
        <w:rPr>
          <w:bCs/>
        </w:rPr>
        <w:t xml:space="preserve">, which imposes specific requirements on trust deeds associated with public bond offerings. U.S. trust deeds often include detailed covenants that address issues such as the issuer’s operational </w:t>
      </w:r>
      <w:r w:rsidR="00FE44F5" w:rsidRPr="00547EA0">
        <w:rPr>
          <w:bCs/>
        </w:rPr>
        <w:t>restrictions,</w:t>
      </w:r>
      <w:r w:rsidR="00C801C2" w:rsidRPr="00547EA0">
        <w:rPr>
          <w:bCs/>
        </w:rPr>
        <w:t xml:space="preserve"> the use of collateral, and provisions for bondholder meetings</w:t>
      </w:r>
      <w:r w:rsidR="00514D73" w:rsidRPr="00547EA0">
        <w:rPr>
          <w:rStyle w:val="FootnoteReference"/>
          <w:bCs/>
        </w:rPr>
        <w:footnoteReference w:id="72"/>
      </w:r>
      <w:r w:rsidR="00C801C2" w:rsidRPr="00547EA0">
        <w:rPr>
          <w:bCs/>
        </w:rPr>
        <w:t>.</w:t>
      </w:r>
    </w:p>
    <w:p w14:paraId="33958DB6" w14:textId="0B6A5178" w:rsidR="00C801C2" w:rsidRPr="00547EA0" w:rsidRDefault="00C801C2" w:rsidP="00852BE9">
      <w:pPr>
        <w:spacing w:line="480" w:lineRule="auto"/>
        <w:ind w:left="360" w:hanging="360"/>
        <w:jc w:val="both"/>
        <w:rPr>
          <w:bCs/>
        </w:rPr>
      </w:pPr>
    </w:p>
    <w:p w14:paraId="08C40D9D" w14:textId="4B7FA9BA" w:rsidR="00C801C2" w:rsidRPr="00547EA0" w:rsidRDefault="00FE44F5" w:rsidP="00852BE9">
      <w:pPr>
        <w:spacing w:line="480" w:lineRule="auto"/>
        <w:ind w:left="360" w:hanging="360"/>
        <w:jc w:val="both"/>
        <w:rPr>
          <w:bCs/>
        </w:rPr>
      </w:pPr>
      <w:r w:rsidRPr="00547EA0">
        <w:rPr>
          <w:bCs/>
        </w:rPr>
        <w:tab/>
        <w:t>One notable aspect of U.S. trust deeds is the inclusion of “no-action” clauses, which restrict individual bondholders from initiating legal action against the issuer, leaving enforcement to the trustee</w:t>
      </w:r>
      <w:r w:rsidR="005E66C8" w:rsidRPr="00547EA0">
        <w:rPr>
          <w:rStyle w:val="FootnoteReference"/>
          <w:bCs/>
        </w:rPr>
        <w:footnoteReference w:id="73"/>
      </w:r>
      <w:r w:rsidRPr="00547EA0">
        <w:rPr>
          <w:bCs/>
        </w:rPr>
        <w:t>. This centralized enforcement mechanism is intended to prevent fragmented litigation and ensure that actions taken are in the collective interest of all bondholders.</w:t>
      </w:r>
    </w:p>
    <w:p w14:paraId="24F7441F" w14:textId="77777777" w:rsidR="00FE44F5" w:rsidRPr="00547EA0" w:rsidRDefault="00FE44F5" w:rsidP="00852BE9">
      <w:pPr>
        <w:spacing w:line="480" w:lineRule="auto"/>
        <w:ind w:left="360" w:hanging="360"/>
        <w:jc w:val="both"/>
        <w:rPr>
          <w:bCs/>
        </w:rPr>
      </w:pPr>
    </w:p>
    <w:p w14:paraId="1E4ABF78" w14:textId="5E38805E" w:rsidR="00C47BE7" w:rsidRPr="00547EA0" w:rsidRDefault="005F456D" w:rsidP="00852BE9">
      <w:pPr>
        <w:spacing w:line="480" w:lineRule="auto"/>
        <w:ind w:left="360" w:hanging="360"/>
        <w:jc w:val="both"/>
        <w:rPr>
          <w:bCs/>
        </w:rPr>
      </w:pPr>
      <w:r w:rsidRPr="00547EA0">
        <w:rPr>
          <w:bCs/>
        </w:rPr>
        <w:t xml:space="preserve">      The U.S. legal framework’s approach to trust deeds provides a high degree of predictability and security for bondholders, largely due to the robust enforcement mechanisms available under the Trust Indenture Act. However, the implications for debt governance depend on the specific terms of the trust deed, particularly the rigidity of the covenants and the trustee’s willingness to enforce them. Compared to Nigeria, U.S. trust deeds tend to offer stronger protections due to the more developed legal and regulatory environment.   </w:t>
      </w:r>
    </w:p>
    <w:p w14:paraId="753DA2AA" w14:textId="77777777" w:rsidR="006F7369" w:rsidRPr="00547EA0" w:rsidRDefault="006F7369" w:rsidP="00852BE9">
      <w:pPr>
        <w:spacing w:line="480" w:lineRule="auto"/>
        <w:ind w:left="360"/>
        <w:jc w:val="both"/>
        <w:rPr>
          <w:bCs/>
        </w:rPr>
      </w:pPr>
    </w:p>
    <w:p w14:paraId="62E2C132" w14:textId="663E0B1F" w:rsidR="00C47BE7" w:rsidRPr="00547EA0" w:rsidRDefault="00C47BE7" w:rsidP="00852BE9">
      <w:pPr>
        <w:spacing w:line="480" w:lineRule="auto"/>
        <w:ind w:left="360"/>
        <w:jc w:val="both"/>
        <w:rPr>
          <w:b/>
          <w:color w:val="000000"/>
          <w:shd w:val="clear" w:color="auto" w:fill="FFFFFF"/>
        </w:rPr>
      </w:pPr>
      <w:r w:rsidRPr="00547EA0">
        <w:rPr>
          <w:bCs/>
        </w:rPr>
        <w:t>4.3</w:t>
      </w:r>
      <w:r w:rsidRPr="00547EA0">
        <w:rPr>
          <w:b/>
          <w:bCs/>
        </w:rPr>
        <w:t xml:space="preserve"> </w:t>
      </w:r>
      <w:r w:rsidRPr="00547EA0">
        <w:rPr>
          <w:b/>
          <w:color w:val="000000"/>
          <w:shd w:val="clear" w:color="auto" w:fill="FFFFFF"/>
        </w:rPr>
        <w:t xml:space="preserve">Comparison </w:t>
      </w:r>
      <w:r w:rsidR="008A4F6D" w:rsidRPr="00547EA0">
        <w:rPr>
          <w:b/>
          <w:color w:val="000000"/>
          <w:shd w:val="clear" w:color="auto" w:fill="FFFFFF"/>
        </w:rPr>
        <w:t xml:space="preserve">of Trust Deed Practices in The </w:t>
      </w:r>
      <w:r w:rsidRPr="00547EA0">
        <w:rPr>
          <w:b/>
          <w:color w:val="000000"/>
          <w:shd w:val="clear" w:color="auto" w:fill="FFFFFF"/>
        </w:rPr>
        <w:t xml:space="preserve">United Kingdom </w:t>
      </w:r>
    </w:p>
    <w:p w14:paraId="63EF970A" w14:textId="6FD24BB2" w:rsidR="00C47BE7" w:rsidRPr="00547EA0" w:rsidRDefault="00C47BE7" w:rsidP="00852BE9">
      <w:pPr>
        <w:spacing w:line="480" w:lineRule="auto"/>
        <w:rPr>
          <w:b/>
          <w:bCs/>
        </w:rPr>
      </w:pPr>
      <w:r w:rsidRPr="00547EA0">
        <w:rPr>
          <w:b/>
          <w:bCs/>
        </w:rPr>
        <w:t xml:space="preserve">       </w:t>
      </w:r>
      <w:r w:rsidR="003007BB" w:rsidRPr="00547EA0">
        <w:rPr>
          <w:b/>
          <w:bCs/>
        </w:rPr>
        <w:t xml:space="preserve"> </w:t>
      </w:r>
    </w:p>
    <w:p w14:paraId="6809E169" w14:textId="77777777" w:rsidR="00841560" w:rsidRPr="00547EA0" w:rsidRDefault="00841560" w:rsidP="00852BE9">
      <w:pPr>
        <w:spacing w:line="480" w:lineRule="auto"/>
        <w:rPr>
          <w:bCs/>
        </w:rPr>
      </w:pPr>
    </w:p>
    <w:p w14:paraId="11290A54" w14:textId="721904F5" w:rsidR="00841560" w:rsidRPr="00547EA0" w:rsidRDefault="00896A70" w:rsidP="00852BE9">
      <w:pPr>
        <w:spacing w:line="480" w:lineRule="auto"/>
        <w:ind w:left="450"/>
        <w:jc w:val="both"/>
        <w:rPr>
          <w:bCs/>
        </w:rPr>
      </w:pPr>
      <w:r w:rsidRPr="00547EA0">
        <w:rPr>
          <w:bCs/>
        </w:rPr>
        <w:t xml:space="preserve">In the United Kingdom, trust deeds are commonly used for both corporate bonds and debentures, with their governance primarily </w:t>
      </w:r>
      <w:r w:rsidR="00AD2527" w:rsidRPr="00547EA0">
        <w:rPr>
          <w:bCs/>
        </w:rPr>
        <w:t xml:space="preserve">shaped by the Companies Act 2006 and </w:t>
      </w:r>
      <w:r w:rsidRPr="00547EA0">
        <w:rPr>
          <w:bCs/>
        </w:rPr>
        <w:t>the Financial Services and Markets Act</w:t>
      </w:r>
      <w:r w:rsidR="00AD2527" w:rsidRPr="00547EA0">
        <w:rPr>
          <w:bCs/>
        </w:rPr>
        <w:t xml:space="preserve"> 2000. UK trust deeds typically include covenants similar to those found in the U.S., such as restrictions on further borrowing and requirements for financial disclosures.</w:t>
      </w:r>
    </w:p>
    <w:p w14:paraId="44E02955" w14:textId="669E854F" w:rsidR="00AD2527" w:rsidRPr="00547EA0" w:rsidRDefault="00AD2527" w:rsidP="00852BE9">
      <w:pPr>
        <w:spacing w:line="480" w:lineRule="auto"/>
        <w:ind w:left="450"/>
        <w:jc w:val="both"/>
        <w:rPr>
          <w:bCs/>
        </w:rPr>
      </w:pPr>
    </w:p>
    <w:p w14:paraId="6A6D02F6" w14:textId="28AFF1A0" w:rsidR="00AD2527" w:rsidRPr="00547EA0" w:rsidRDefault="00AD2527" w:rsidP="00852BE9">
      <w:pPr>
        <w:spacing w:line="480" w:lineRule="auto"/>
        <w:ind w:left="450"/>
        <w:jc w:val="both"/>
        <w:rPr>
          <w:bCs/>
        </w:rPr>
      </w:pPr>
      <w:r w:rsidRPr="00547EA0">
        <w:rPr>
          <w:bCs/>
        </w:rPr>
        <w:t>A unique feature of the UK trust deeds is the emphasis on the equitable treatment of debenture holders. This principle ensures that all bondholders are treated fairly and that any modifications to the trust deed require approval from a majority of debenture holders. In addition, UK trust deeds often include provisions for appointing an independent trustee to oversee the bond issuance and ensure compliance with the deed’s terms.</w:t>
      </w:r>
    </w:p>
    <w:p w14:paraId="7020DD73" w14:textId="00D54339" w:rsidR="00841560" w:rsidRPr="00547EA0" w:rsidRDefault="00841560" w:rsidP="00852BE9">
      <w:pPr>
        <w:spacing w:line="480" w:lineRule="auto"/>
        <w:ind w:left="450"/>
        <w:jc w:val="both"/>
        <w:rPr>
          <w:bCs/>
        </w:rPr>
      </w:pPr>
    </w:p>
    <w:p w14:paraId="108088BF" w14:textId="07009927" w:rsidR="00AD2527" w:rsidRPr="00547EA0" w:rsidRDefault="00AD2527" w:rsidP="00852BE9">
      <w:pPr>
        <w:spacing w:line="480" w:lineRule="auto"/>
        <w:ind w:left="450"/>
        <w:jc w:val="both"/>
        <w:rPr>
          <w:bCs/>
        </w:rPr>
      </w:pPr>
      <w:r w:rsidRPr="00547EA0">
        <w:rPr>
          <w:bCs/>
        </w:rPr>
        <w:t>The UK legal framework provides strong protections for debenture holders, with a focus on transparency and fairness. The implications for debt governance are heavily influenced by specific terms of the trust deed, particularly the role of the trustee and the covenant’s enforceability. While the UK trust deeds offer a high level of protection, their effectiveness in managing debt depends on the specific terms agreed upon by the parties involved.</w:t>
      </w:r>
    </w:p>
    <w:p w14:paraId="3D00163B" w14:textId="77777777" w:rsidR="00AD2527" w:rsidRPr="00547EA0" w:rsidRDefault="00AD2527" w:rsidP="00852BE9">
      <w:pPr>
        <w:spacing w:line="480" w:lineRule="auto"/>
        <w:ind w:left="450"/>
        <w:jc w:val="both"/>
        <w:rPr>
          <w:bCs/>
        </w:rPr>
      </w:pPr>
    </w:p>
    <w:p w14:paraId="71AEE079" w14:textId="368CBDBC" w:rsidR="003007BB" w:rsidRPr="00547EA0" w:rsidRDefault="00406F87" w:rsidP="00852BE9">
      <w:pPr>
        <w:spacing w:line="480" w:lineRule="auto"/>
        <w:ind w:left="450"/>
        <w:jc w:val="both"/>
        <w:rPr>
          <w:bCs/>
        </w:rPr>
      </w:pPr>
      <w:r w:rsidRPr="00547EA0">
        <w:rPr>
          <w:bCs/>
        </w:rPr>
        <w:lastRenderedPageBreak/>
        <w:t xml:space="preserve">The Companies Act 2006 in the UK similarly imposes a fiduciary duty on trustees, requiring them to act in the best interests of all bondholders. This contrasts with the TIA </w:t>
      </w:r>
      <w:r w:rsidRPr="00547EA0">
        <w:t>§</w:t>
      </w:r>
      <w:r w:rsidRPr="00547EA0">
        <w:rPr>
          <w:spacing w:val="-3"/>
        </w:rPr>
        <w:t xml:space="preserve"> </w:t>
      </w:r>
      <w:r w:rsidRPr="00547EA0">
        <w:t>315, which emphasizes the trustee’s duty to act with due care and prudence</w:t>
      </w:r>
      <w:r w:rsidR="00D472C5" w:rsidRPr="00547EA0">
        <w:rPr>
          <w:rStyle w:val="FootnoteReference"/>
        </w:rPr>
        <w:footnoteReference w:id="74"/>
      </w:r>
      <w:r w:rsidRPr="00547EA0">
        <w:t>.</w:t>
      </w:r>
      <w:r w:rsidR="003007BB" w:rsidRPr="00547EA0">
        <w:rPr>
          <w:bCs/>
        </w:rPr>
        <w:tab/>
      </w:r>
    </w:p>
    <w:p w14:paraId="5D28DB3E" w14:textId="77777777" w:rsidR="00406F87" w:rsidRPr="00547EA0" w:rsidRDefault="00406F87" w:rsidP="00852BE9">
      <w:pPr>
        <w:spacing w:line="480" w:lineRule="auto"/>
        <w:ind w:left="450"/>
        <w:jc w:val="both"/>
        <w:rPr>
          <w:bCs/>
        </w:rPr>
      </w:pPr>
    </w:p>
    <w:p w14:paraId="15BBD9C2" w14:textId="760FF4A2" w:rsidR="00C47BE7" w:rsidRPr="00547EA0" w:rsidRDefault="005F456D" w:rsidP="00852BE9">
      <w:pPr>
        <w:spacing w:line="480" w:lineRule="auto"/>
        <w:ind w:left="450"/>
        <w:jc w:val="both"/>
        <w:rPr>
          <w:bCs/>
        </w:rPr>
      </w:pPr>
      <w:r w:rsidRPr="00547EA0">
        <w:rPr>
          <w:bCs/>
        </w:rPr>
        <w:t>While UK trust deeds offer a high level of protection, their effectiveness in managing debt depends on the specific terms agreed upon by the parties involved.</w:t>
      </w:r>
    </w:p>
    <w:p w14:paraId="3925E125" w14:textId="77777777" w:rsidR="00A820F6" w:rsidRPr="00547EA0" w:rsidRDefault="00A820F6" w:rsidP="00852BE9">
      <w:pPr>
        <w:spacing w:line="480" w:lineRule="auto"/>
        <w:ind w:firstLine="360"/>
        <w:rPr>
          <w:bCs/>
        </w:rPr>
      </w:pPr>
    </w:p>
    <w:p w14:paraId="301A8CAF" w14:textId="10E4EB5C" w:rsidR="00C47BE7" w:rsidRPr="00547EA0" w:rsidRDefault="00C47BE7" w:rsidP="00852BE9">
      <w:pPr>
        <w:spacing w:line="480" w:lineRule="auto"/>
        <w:ind w:firstLine="360"/>
        <w:rPr>
          <w:color w:val="000000"/>
          <w:shd w:val="clear" w:color="auto" w:fill="FFFFFF"/>
        </w:rPr>
      </w:pPr>
      <w:r w:rsidRPr="00547EA0">
        <w:rPr>
          <w:bCs/>
        </w:rPr>
        <w:t>4.4</w:t>
      </w:r>
      <w:r w:rsidRPr="00547EA0">
        <w:rPr>
          <w:b/>
          <w:bCs/>
        </w:rPr>
        <w:t xml:space="preserve"> </w:t>
      </w:r>
      <w:r w:rsidRPr="00547EA0">
        <w:rPr>
          <w:b/>
          <w:color w:val="000000"/>
          <w:shd w:val="clear" w:color="auto" w:fill="FFFFFF"/>
        </w:rPr>
        <w:t xml:space="preserve">Impact </w:t>
      </w:r>
      <w:r w:rsidR="008A4F6D" w:rsidRPr="00547EA0">
        <w:rPr>
          <w:b/>
          <w:color w:val="000000"/>
          <w:shd w:val="clear" w:color="auto" w:fill="FFFFFF"/>
        </w:rPr>
        <w:t xml:space="preserve">of Regulatory Frameworks </w:t>
      </w:r>
      <w:r w:rsidR="003007BB" w:rsidRPr="00547EA0">
        <w:rPr>
          <w:b/>
          <w:color w:val="000000"/>
          <w:shd w:val="clear" w:color="auto" w:fill="FFFFFF"/>
        </w:rPr>
        <w:t>on</w:t>
      </w:r>
      <w:r w:rsidR="008A4F6D" w:rsidRPr="00547EA0">
        <w:rPr>
          <w:b/>
          <w:color w:val="000000"/>
          <w:shd w:val="clear" w:color="auto" w:fill="FFFFFF"/>
        </w:rPr>
        <w:t xml:space="preserve"> The Efficacy </w:t>
      </w:r>
      <w:r w:rsidR="005F456D" w:rsidRPr="00547EA0">
        <w:rPr>
          <w:b/>
          <w:color w:val="000000"/>
          <w:shd w:val="clear" w:color="auto" w:fill="FFFFFF"/>
        </w:rPr>
        <w:t>of</w:t>
      </w:r>
      <w:r w:rsidR="008A4F6D" w:rsidRPr="00547EA0">
        <w:rPr>
          <w:b/>
          <w:color w:val="000000"/>
          <w:shd w:val="clear" w:color="auto" w:fill="FFFFFF"/>
        </w:rPr>
        <w:t xml:space="preserve"> Trust Deeds</w:t>
      </w:r>
    </w:p>
    <w:p w14:paraId="163F2E6E" w14:textId="77777777" w:rsidR="00A820F6" w:rsidRPr="00547EA0" w:rsidRDefault="00A820F6" w:rsidP="00852BE9">
      <w:pPr>
        <w:spacing w:after="240" w:line="480" w:lineRule="auto"/>
        <w:ind w:left="540"/>
        <w:jc w:val="both"/>
      </w:pPr>
    </w:p>
    <w:p w14:paraId="7F55FCDF" w14:textId="26D3610E" w:rsidR="00666E2F" w:rsidRPr="00547EA0" w:rsidRDefault="00FE44F5" w:rsidP="00852BE9">
      <w:pPr>
        <w:spacing w:after="240" w:line="480" w:lineRule="auto"/>
        <w:ind w:left="540"/>
        <w:jc w:val="both"/>
      </w:pPr>
      <w:r w:rsidRPr="00547EA0">
        <w:t xml:space="preserve">The regulatory frameworks in Nigeria, the United States, and the United Kingdom significantly influence the efficacy of trust deeds in debt governance. In Nigeria, the regulatory environment can pose challenges for the enforcement of trust deeds, making the specific terms </w:t>
      </w:r>
      <w:r w:rsidR="00666E2F" w:rsidRPr="00547EA0">
        <w:t>and the trustee’s role crucial for protecting bondholders. In contrast, the U.S. and UK frameworks provide more robust mechanisms for enforcement, but the ultimate impact on debt governance still hinges on the specific terms of the trust deed.</w:t>
      </w:r>
    </w:p>
    <w:p w14:paraId="3D745E1F" w14:textId="09774F97" w:rsidR="00FE44F5" w:rsidRPr="00547EA0" w:rsidRDefault="00666E2F" w:rsidP="00852BE9">
      <w:pPr>
        <w:spacing w:after="240" w:line="480" w:lineRule="auto"/>
        <w:ind w:left="540"/>
        <w:jc w:val="both"/>
      </w:pPr>
      <w:r w:rsidRPr="00547EA0">
        <w:t>The differences in these frameworks highlight the importance of carefully drafting trust deeds to include terms that are enforceable and aligned with the regulatory environment in which they operate. By understanding the unique features of each jurisdiction’s legal framework, parties can tailor trust deeds to effectively manage credit risk and ensure long-term stability of debt arrangements.</w:t>
      </w:r>
    </w:p>
    <w:p w14:paraId="4667FEBA" w14:textId="77777777" w:rsidR="00666E2F" w:rsidRPr="00547EA0" w:rsidRDefault="00C97E3E" w:rsidP="00852BE9">
      <w:pPr>
        <w:spacing w:line="480" w:lineRule="auto"/>
        <w:ind w:left="540"/>
        <w:jc w:val="both"/>
        <w:rPr>
          <w:b/>
          <w:bCs/>
        </w:rPr>
      </w:pPr>
      <w:r w:rsidRPr="00547EA0">
        <w:lastRenderedPageBreak/>
        <w:t>The TIA’s strict requirements, such as those in §</w:t>
      </w:r>
      <w:r w:rsidRPr="00547EA0">
        <w:rPr>
          <w:spacing w:val="-3"/>
        </w:rPr>
        <w:t xml:space="preserve"> </w:t>
      </w:r>
      <w:r w:rsidRPr="00547EA0">
        <w:t>314 regarding issuer reporting, ensure transparency and allow the trustee to monitor compliance</w:t>
      </w:r>
      <w:r w:rsidR="00406F87" w:rsidRPr="00547EA0">
        <w:t xml:space="preserve"> effectively. In contrast, the UK’s regulatory framework provide trustees with more discretionary power, which can affect the enforceability of trust deeds depending on the specific terms agreed upon.</w:t>
      </w:r>
      <w:r w:rsidR="00E16F08" w:rsidRPr="00547EA0">
        <w:br/>
      </w:r>
    </w:p>
    <w:p w14:paraId="0F21EE3B" w14:textId="77777777" w:rsidR="00547EA0" w:rsidRDefault="00547EA0" w:rsidP="00852BE9">
      <w:pPr>
        <w:spacing w:line="480" w:lineRule="auto"/>
        <w:rPr>
          <w:b/>
          <w:bCs/>
        </w:rPr>
      </w:pPr>
      <w:r>
        <w:rPr>
          <w:b/>
          <w:bCs/>
        </w:rPr>
        <w:br w:type="page"/>
      </w:r>
    </w:p>
    <w:p w14:paraId="01428D15" w14:textId="6209056C" w:rsidR="0044694F" w:rsidRPr="00547EA0" w:rsidRDefault="00666E2F" w:rsidP="00852BE9">
      <w:pPr>
        <w:spacing w:line="480" w:lineRule="auto"/>
        <w:ind w:left="360"/>
        <w:jc w:val="center"/>
        <w:rPr>
          <w:b/>
          <w:bCs/>
        </w:rPr>
      </w:pPr>
      <w:r w:rsidRPr="00547EA0">
        <w:rPr>
          <w:b/>
          <w:bCs/>
        </w:rPr>
        <w:lastRenderedPageBreak/>
        <w:t>PART FIVE</w:t>
      </w:r>
    </w:p>
    <w:p w14:paraId="4134FB31" w14:textId="3E8B4E2B" w:rsidR="00666E2F" w:rsidRPr="00547EA0" w:rsidRDefault="00666E2F" w:rsidP="00852BE9">
      <w:pPr>
        <w:spacing w:line="480" w:lineRule="auto"/>
        <w:ind w:left="360"/>
        <w:jc w:val="center"/>
        <w:rPr>
          <w:bCs/>
        </w:rPr>
      </w:pPr>
      <w:r w:rsidRPr="00547EA0">
        <w:rPr>
          <w:b/>
          <w:bCs/>
        </w:rPr>
        <w:t>FINDINGS, CONCLUSION AND RECOMMENDATION</w:t>
      </w:r>
    </w:p>
    <w:p w14:paraId="28956E81" w14:textId="1EA3FDD7" w:rsidR="00666E2F" w:rsidRPr="00547EA0" w:rsidRDefault="00666E2F" w:rsidP="00852BE9">
      <w:pPr>
        <w:spacing w:line="480" w:lineRule="auto"/>
        <w:ind w:left="360" w:hanging="360"/>
        <w:jc w:val="both"/>
        <w:rPr>
          <w:b/>
          <w:bCs/>
        </w:rPr>
      </w:pPr>
      <w:r w:rsidRPr="00547EA0">
        <w:rPr>
          <w:b/>
          <w:bCs/>
        </w:rPr>
        <w:t xml:space="preserve">       </w:t>
      </w:r>
      <w:r w:rsidRPr="00547EA0">
        <w:rPr>
          <w:bCs/>
        </w:rPr>
        <w:t xml:space="preserve">5.1 </w:t>
      </w:r>
      <w:r w:rsidRPr="00547EA0">
        <w:rPr>
          <w:b/>
          <w:bCs/>
        </w:rPr>
        <w:t>Findings</w:t>
      </w:r>
    </w:p>
    <w:p w14:paraId="506A5020" w14:textId="77777777" w:rsidR="0044694F" w:rsidRPr="00547EA0" w:rsidRDefault="00666E2F" w:rsidP="00852BE9">
      <w:pPr>
        <w:spacing w:line="480" w:lineRule="auto"/>
        <w:ind w:left="540" w:hanging="630"/>
        <w:jc w:val="both"/>
        <w:rPr>
          <w:bCs/>
        </w:rPr>
      </w:pPr>
      <w:r w:rsidRPr="00547EA0">
        <w:rPr>
          <w:bCs/>
        </w:rPr>
        <w:t xml:space="preserve">       </w:t>
      </w:r>
      <w:r w:rsidR="0021318F" w:rsidRPr="00547EA0">
        <w:rPr>
          <w:bCs/>
        </w:rPr>
        <w:t xml:space="preserve">   </w:t>
      </w:r>
    </w:p>
    <w:p w14:paraId="35BA2D38" w14:textId="67F58132" w:rsidR="006F7369" w:rsidRPr="00547EA0" w:rsidRDefault="0021318F" w:rsidP="00852BE9">
      <w:pPr>
        <w:spacing w:line="480" w:lineRule="auto"/>
        <w:ind w:left="540" w:hanging="180"/>
        <w:jc w:val="both"/>
        <w:rPr>
          <w:bCs/>
        </w:rPr>
      </w:pPr>
      <w:r w:rsidRPr="00547EA0">
        <w:rPr>
          <w:bCs/>
        </w:rPr>
        <w:t>Upon undertaking this research work, I have the following findings from my research questions:</w:t>
      </w:r>
    </w:p>
    <w:p w14:paraId="101DA9B6" w14:textId="54DFDE09" w:rsidR="0021318F" w:rsidRPr="00547EA0" w:rsidRDefault="0021318F" w:rsidP="00852BE9">
      <w:pPr>
        <w:pStyle w:val="ListParagraph"/>
        <w:numPr>
          <w:ilvl w:val="0"/>
          <w:numId w:val="3"/>
        </w:numPr>
        <w:spacing w:line="480" w:lineRule="auto"/>
        <w:jc w:val="both"/>
        <w:rPr>
          <w:rFonts w:ascii="Times New Roman" w:hAnsi="Times New Roman" w:cs="Times New Roman"/>
          <w:bCs/>
        </w:rPr>
      </w:pPr>
      <w:r w:rsidRPr="00547EA0">
        <w:rPr>
          <w:rFonts w:ascii="Times New Roman" w:hAnsi="Times New Roman" w:cs="Times New Roman"/>
          <w:bCs/>
        </w:rPr>
        <w:t>Trust deeds serves as crucial legal instruments that establish the terms of corporate debt agreements, delineating the rights and obligations of parties involved and providing a framework for the enforcement of creditor protections.</w:t>
      </w:r>
    </w:p>
    <w:p w14:paraId="2B55D12B" w14:textId="3C665BA3" w:rsidR="00625101" w:rsidRPr="00547EA0" w:rsidRDefault="00625101" w:rsidP="00852BE9">
      <w:pPr>
        <w:pStyle w:val="ListParagraph"/>
        <w:numPr>
          <w:ilvl w:val="0"/>
          <w:numId w:val="3"/>
        </w:numPr>
        <w:spacing w:line="480" w:lineRule="auto"/>
        <w:jc w:val="both"/>
        <w:rPr>
          <w:rFonts w:ascii="Times New Roman" w:hAnsi="Times New Roman" w:cs="Times New Roman"/>
          <w:bCs/>
        </w:rPr>
      </w:pPr>
      <w:r w:rsidRPr="00547EA0">
        <w:rPr>
          <w:rFonts w:ascii="Times New Roman" w:hAnsi="Times New Roman" w:cs="Times New Roman"/>
          <w:bCs/>
        </w:rPr>
        <w:t>The legal framework for trust deeds in Nigeria is relatively underdeveloped and lacks the stringent regulatory requirements found in international standards like the Trust Indenture Act, potentially weakening protection for debenture trustees.</w:t>
      </w:r>
    </w:p>
    <w:p w14:paraId="3DD65DD9" w14:textId="69FB988D" w:rsidR="00625101" w:rsidRPr="00547EA0" w:rsidRDefault="00625101" w:rsidP="00852BE9">
      <w:pPr>
        <w:pStyle w:val="ListParagraph"/>
        <w:numPr>
          <w:ilvl w:val="0"/>
          <w:numId w:val="3"/>
        </w:numPr>
        <w:spacing w:line="480" w:lineRule="auto"/>
        <w:jc w:val="both"/>
        <w:rPr>
          <w:rFonts w:ascii="Times New Roman" w:hAnsi="Times New Roman" w:cs="Times New Roman"/>
          <w:bCs/>
        </w:rPr>
      </w:pPr>
      <w:r w:rsidRPr="00547EA0">
        <w:rPr>
          <w:rFonts w:ascii="Times New Roman" w:hAnsi="Times New Roman" w:cs="Times New Roman"/>
          <w:bCs/>
        </w:rPr>
        <w:t>Trust deeds play a pivotal role in creditor protection by clearly defining debtor obligations and creating enforceable covenants that safeguard the interests of debenture holders against default risks.</w:t>
      </w:r>
    </w:p>
    <w:p w14:paraId="74184F9B" w14:textId="4181BF49" w:rsidR="00625101" w:rsidRPr="00547EA0" w:rsidRDefault="00625101" w:rsidP="00852BE9">
      <w:pPr>
        <w:pStyle w:val="ListParagraph"/>
        <w:numPr>
          <w:ilvl w:val="0"/>
          <w:numId w:val="3"/>
        </w:numPr>
        <w:spacing w:line="480" w:lineRule="auto"/>
        <w:jc w:val="both"/>
        <w:rPr>
          <w:rFonts w:ascii="Times New Roman" w:hAnsi="Times New Roman" w:cs="Times New Roman"/>
          <w:bCs/>
        </w:rPr>
      </w:pPr>
      <w:r w:rsidRPr="00547EA0">
        <w:rPr>
          <w:rFonts w:ascii="Times New Roman" w:hAnsi="Times New Roman" w:cs="Times New Roman"/>
          <w:bCs/>
        </w:rPr>
        <w:t>Reforms are needed to enhance the clarity, enforceability, and regulatory oversight for trust deeds in Nigeria, aligning them more closely with international practices to strengthen debt governance and creditor protection.</w:t>
      </w:r>
    </w:p>
    <w:p w14:paraId="4B915856" w14:textId="77777777" w:rsidR="006F7369" w:rsidRPr="00547EA0" w:rsidRDefault="006F7369" w:rsidP="00852BE9">
      <w:pPr>
        <w:spacing w:line="480" w:lineRule="auto"/>
        <w:ind w:left="540" w:hanging="360"/>
        <w:jc w:val="both"/>
        <w:rPr>
          <w:bCs/>
        </w:rPr>
      </w:pPr>
    </w:p>
    <w:p w14:paraId="07BD0D54" w14:textId="4265844D" w:rsidR="00666E2F" w:rsidRPr="00547EA0" w:rsidRDefault="00666E2F" w:rsidP="00852BE9">
      <w:pPr>
        <w:spacing w:line="480" w:lineRule="auto"/>
        <w:jc w:val="both"/>
        <w:rPr>
          <w:bCs/>
        </w:rPr>
      </w:pPr>
      <w:r w:rsidRPr="00547EA0">
        <w:rPr>
          <w:bCs/>
        </w:rPr>
        <w:t xml:space="preserve">5.2 </w:t>
      </w:r>
      <w:r w:rsidRPr="00547EA0">
        <w:rPr>
          <w:b/>
          <w:bCs/>
        </w:rPr>
        <w:t>Conclusion</w:t>
      </w:r>
    </w:p>
    <w:p w14:paraId="12AE8F51" w14:textId="77777777" w:rsidR="00D472C5" w:rsidRPr="00547EA0" w:rsidRDefault="00666E2F" w:rsidP="00852BE9">
      <w:pPr>
        <w:spacing w:line="480" w:lineRule="auto"/>
        <w:ind w:left="360" w:hanging="360"/>
        <w:jc w:val="both"/>
        <w:rPr>
          <w:bCs/>
        </w:rPr>
      </w:pPr>
      <w:r w:rsidRPr="00547EA0">
        <w:rPr>
          <w:bCs/>
        </w:rPr>
        <w:t xml:space="preserve">      </w:t>
      </w:r>
      <w:r w:rsidR="00B72999" w:rsidRPr="00547EA0">
        <w:rPr>
          <w:rFonts w:ascii="Tahoma" w:hAnsi="Tahoma" w:cs="Tahoma"/>
          <w:bCs/>
        </w:rPr>
        <w:t>﻿</w:t>
      </w:r>
    </w:p>
    <w:p w14:paraId="7EDD807A" w14:textId="57FBBFFD" w:rsidR="00B72999" w:rsidRPr="00547EA0" w:rsidRDefault="00B72999" w:rsidP="00852BE9">
      <w:pPr>
        <w:spacing w:line="480" w:lineRule="auto"/>
        <w:ind w:left="360"/>
        <w:jc w:val="both"/>
        <w:rPr>
          <w:bCs/>
        </w:rPr>
      </w:pPr>
      <w:r w:rsidRPr="00547EA0">
        <w:rPr>
          <w:bCs/>
        </w:rPr>
        <w:t xml:space="preserve">The </w:t>
      </w:r>
      <w:r w:rsidR="00D472C5" w:rsidRPr="00547EA0">
        <w:rPr>
          <w:bCs/>
        </w:rPr>
        <w:t xml:space="preserve">trust deed plays a pivotal role in corporate debt governance and has far reaching implications for debt governance in </w:t>
      </w:r>
      <w:r w:rsidR="00743042" w:rsidRPr="00547EA0">
        <w:rPr>
          <w:bCs/>
        </w:rPr>
        <w:t>a</w:t>
      </w:r>
      <w:r w:rsidR="00D472C5" w:rsidRPr="00547EA0">
        <w:rPr>
          <w:bCs/>
        </w:rPr>
        <w:t xml:space="preserve"> </w:t>
      </w:r>
      <w:r w:rsidR="00743042" w:rsidRPr="00547EA0">
        <w:rPr>
          <w:bCs/>
        </w:rPr>
        <w:t>volatile capital market for lenders</w:t>
      </w:r>
      <w:r w:rsidRPr="00547EA0">
        <w:rPr>
          <w:bCs/>
        </w:rPr>
        <w:t xml:space="preserve">. </w:t>
      </w:r>
      <w:r w:rsidR="00743042" w:rsidRPr="00547EA0">
        <w:rPr>
          <w:bCs/>
        </w:rPr>
        <w:t xml:space="preserve">After undertaking a comparative analysis of the legal frameworks governing the trust deed, alongside impact on </w:t>
      </w:r>
      <w:r w:rsidR="00743042" w:rsidRPr="00547EA0">
        <w:rPr>
          <w:bCs/>
        </w:rPr>
        <w:lastRenderedPageBreak/>
        <w:t xml:space="preserve">debt governance in the Nigeria, the United States and the United </w:t>
      </w:r>
      <w:r w:rsidR="00887E79" w:rsidRPr="00547EA0">
        <w:rPr>
          <w:bCs/>
        </w:rPr>
        <w:t>Kingdom, this</w:t>
      </w:r>
      <w:r w:rsidRPr="00547EA0">
        <w:rPr>
          <w:bCs/>
        </w:rPr>
        <w:t xml:space="preserve"> </w:t>
      </w:r>
      <w:r w:rsidR="00743042" w:rsidRPr="00547EA0">
        <w:rPr>
          <w:bCs/>
        </w:rPr>
        <w:t>paper</w:t>
      </w:r>
      <w:r w:rsidRPr="00547EA0">
        <w:rPr>
          <w:bCs/>
        </w:rPr>
        <w:t xml:space="preserve"> concludes that </w:t>
      </w:r>
      <w:r w:rsidR="00743042" w:rsidRPr="00547EA0">
        <w:rPr>
          <w:bCs/>
        </w:rPr>
        <w:t xml:space="preserve">while trust deeds are important tools in the mitigation of credit risk and a bulwark for creditor protection, they are often </w:t>
      </w:r>
      <w:r w:rsidR="00743042" w:rsidRPr="00547EA0">
        <w:t>dependent on the clarity and stringency of their terms and effectiveness of the enforcement mechanisms available within specific legal frameworks</w:t>
      </w:r>
      <w:r w:rsidRPr="00547EA0">
        <w:rPr>
          <w:bCs/>
        </w:rPr>
        <w:t xml:space="preserve">. According to this </w:t>
      </w:r>
      <w:r w:rsidR="00743042" w:rsidRPr="00547EA0">
        <w:rPr>
          <w:bCs/>
        </w:rPr>
        <w:t>paper</w:t>
      </w:r>
      <w:r w:rsidRPr="00547EA0">
        <w:rPr>
          <w:bCs/>
        </w:rPr>
        <w:t>, Given th</w:t>
      </w:r>
      <w:r w:rsidR="00887E79" w:rsidRPr="00547EA0">
        <w:rPr>
          <w:bCs/>
        </w:rPr>
        <w:t xml:space="preserve">e importance of the capital market to corporate governance and economic stability, </w:t>
      </w:r>
      <w:r w:rsidRPr="00547EA0">
        <w:rPr>
          <w:bCs/>
        </w:rPr>
        <w:t xml:space="preserve">it is essential to </w:t>
      </w:r>
      <w:r w:rsidR="00887E79" w:rsidRPr="00547EA0">
        <w:rPr>
          <w:bCs/>
        </w:rPr>
        <w:t>remove every impediment to effective debt governance regime</w:t>
      </w:r>
      <w:r w:rsidRPr="00547EA0">
        <w:rPr>
          <w:bCs/>
        </w:rPr>
        <w:t xml:space="preserve">, ranging from </w:t>
      </w:r>
      <w:r w:rsidR="004863DD" w:rsidRPr="00547EA0">
        <w:rPr>
          <w:bCs/>
        </w:rPr>
        <w:t xml:space="preserve">lack of clear legislative policy to govern borrower-lender interaction </w:t>
      </w:r>
      <w:r w:rsidR="00887E79" w:rsidRPr="00547EA0">
        <w:rPr>
          <w:bCs/>
        </w:rPr>
        <w:t>to</w:t>
      </w:r>
      <w:r w:rsidRPr="00547EA0">
        <w:rPr>
          <w:bCs/>
        </w:rPr>
        <w:t xml:space="preserve"> </w:t>
      </w:r>
      <w:r w:rsidR="004863DD" w:rsidRPr="00547EA0">
        <w:rPr>
          <w:bCs/>
        </w:rPr>
        <w:t>inadequate will power to enforce extant but lame laws on trust deeds</w:t>
      </w:r>
      <w:r w:rsidRPr="00547EA0">
        <w:rPr>
          <w:bCs/>
        </w:rPr>
        <w:t>.</w:t>
      </w:r>
    </w:p>
    <w:p w14:paraId="3CDBE7D7" w14:textId="5B59E56A" w:rsidR="00B72999" w:rsidRPr="00547EA0" w:rsidRDefault="00B72999" w:rsidP="00852BE9">
      <w:pPr>
        <w:spacing w:line="480" w:lineRule="auto"/>
        <w:ind w:left="360" w:hanging="360"/>
        <w:jc w:val="both"/>
        <w:rPr>
          <w:bCs/>
        </w:rPr>
      </w:pPr>
    </w:p>
    <w:p w14:paraId="2C8B9B1D" w14:textId="17AF8E29" w:rsidR="00B72999" w:rsidRPr="00547EA0" w:rsidRDefault="00B72999" w:rsidP="00852BE9">
      <w:pPr>
        <w:spacing w:line="480" w:lineRule="auto"/>
        <w:ind w:left="360" w:hanging="360"/>
        <w:jc w:val="both"/>
        <w:rPr>
          <w:bCs/>
        </w:rPr>
      </w:pPr>
      <w:r w:rsidRPr="00547EA0">
        <w:rPr>
          <w:bCs/>
        </w:rPr>
        <w:tab/>
      </w:r>
      <w:r w:rsidRPr="00547EA0">
        <w:rPr>
          <w:rFonts w:ascii="Tahoma" w:hAnsi="Tahoma" w:cs="Tahoma"/>
          <w:bCs/>
        </w:rPr>
        <w:t>﻿</w:t>
      </w:r>
      <w:r w:rsidRPr="00547EA0">
        <w:rPr>
          <w:bCs/>
        </w:rPr>
        <w:t xml:space="preserve">This </w:t>
      </w:r>
      <w:r w:rsidR="004863DD" w:rsidRPr="00547EA0">
        <w:rPr>
          <w:bCs/>
        </w:rPr>
        <w:t xml:space="preserve">paper </w:t>
      </w:r>
      <w:r w:rsidRPr="00547EA0">
        <w:rPr>
          <w:bCs/>
        </w:rPr>
        <w:t xml:space="preserve">demonstrates that </w:t>
      </w:r>
      <w:r w:rsidR="004863DD" w:rsidRPr="00547EA0">
        <w:rPr>
          <w:bCs/>
        </w:rPr>
        <w:t>current provisions governing</w:t>
      </w:r>
      <w:r w:rsidRPr="00547EA0">
        <w:rPr>
          <w:bCs/>
        </w:rPr>
        <w:t xml:space="preserve"> </w:t>
      </w:r>
      <w:r w:rsidR="004863DD" w:rsidRPr="00547EA0">
        <w:rPr>
          <w:bCs/>
        </w:rPr>
        <w:t>trust deeds</w:t>
      </w:r>
      <w:r w:rsidRPr="00547EA0">
        <w:rPr>
          <w:bCs/>
        </w:rPr>
        <w:t xml:space="preserve"> </w:t>
      </w:r>
      <w:r w:rsidR="004863DD" w:rsidRPr="00547EA0">
        <w:rPr>
          <w:bCs/>
        </w:rPr>
        <w:t xml:space="preserve">under CAMA and ISA obviously inadequate as they do not make provisions for salient issues like </w:t>
      </w:r>
      <w:r w:rsidR="004863DD" w:rsidRPr="00547EA0">
        <w:t>trustee selection</w:t>
      </w:r>
      <w:r w:rsidR="0047157C" w:rsidRPr="00547EA0">
        <w:t>, debenture holders’ meetings</w:t>
      </w:r>
      <w:r w:rsidR="004863DD" w:rsidRPr="00547EA0">
        <w:t xml:space="preserve"> and qualifying standards</w:t>
      </w:r>
      <w:r w:rsidR="00207BD6" w:rsidRPr="00547EA0">
        <w:t xml:space="preserve">. </w:t>
      </w:r>
      <w:r w:rsidRPr="00547EA0">
        <w:rPr>
          <w:bCs/>
        </w:rPr>
        <w:t xml:space="preserve"> </w:t>
      </w:r>
    </w:p>
    <w:p w14:paraId="5475CC0E" w14:textId="77777777" w:rsidR="00B72999" w:rsidRPr="00547EA0" w:rsidRDefault="00B72999" w:rsidP="00852BE9">
      <w:pPr>
        <w:spacing w:line="480" w:lineRule="auto"/>
        <w:jc w:val="both"/>
        <w:rPr>
          <w:bCs/>
        </w:rPr>
      </w:pPr>
    </w:p>
    <w:p w14:paraId="29BBC0A0" w14:textId="76F7BB2B" w:rsidR="00B72999" w:rsidRPr="00547EA0" w:rsidRDefault="00B72999" w:rsidP="00852BE9">
      <w:pPr>
        <w:spacing w:line="480" w:lineRule="auto"/>
        <w:ind w:left="360"/>
        <w:jc w:val="both"/>
        <w:rPr>
          <w:bCs/>
        </w:rPr>
      </w:pPr>
      <w:r w:rsidRPr="00547EA0">
        <w:rPr>
          <w:bCs/>
        </w:rPr>
        <w:t>The only way out of this ‘quagmire’ is to e</w:t>
      </w:r>
      <w:r w:rsidR="00743042" w:rsidRPr="00547EA0">
        <w:rPr>
          <w:bCs/>
        </w:rPr>
        <w:t xml:space="preserve">nact legislation that </w:t>
      </w:r>
      <w:r w:rsidRPr="00547EA0">
        <w:rPr>
          <w:bCs/>
        </w:rPr>
        <w:t>s</w:t>
      </w:r>
      <w:r w:rsidR="00743042" w:rsidRPr="00547EA0">
        <w:rPr>
          <w:bCs/>
        </w:rPr>
        <w:t xml:space="preserve">pecifically regulates trust deeds and trusteeship obligations. Some of the measures to be addressed in the new legislation </w:t>
      </w:r>
      <w:r w:rsidR="00887E79" w:rsidRPr="00547EA0">
        <w:t>are provisions that, for example,</w:t>
      </w:r>
      <w:r w:rsidR="00743042" w:rsidRPr="00547EA0">
        <w:t xml:space="preserve"> compel full debenture holder participation in trustee selection, removal, and monitoring. </w:t>
      </w:r>
      <w:r w:rsidR="00887E79" w:rsidRPr="00547EA0">
        <w:t xml:space="preserve">As we have shown in this paper, the </w:t>
      </w:r>
      <w:r w:rsidR="00743042" w:rsidRPr="00547EA0">
        <w:t xml:space="preserve">US Trust Indenture Act of 1939 sets detailed trustee selection and qualifying standards. The </w:t>
      </w:r>
      <w:r w:rsidR="004863DD" w:rsidRPr="00547EA0">
        <w:t xml:space="preserve">U.S. </w:t>
      </w:r>
      <w:r w:rsidR="00743042" w:rsidRPr="00547EA0">
        <w:t xml:space="preserve">legislation strictly regulates these issues. </w:t>
      </w:r>
      <w:r w:rsidR="00887E79" w:rsidRPr="00547EA0">
        <w:t xml:space="preserve">The passage of an enabling legislation that empowers the </w:t>
      </w:r>
      <w:r w:rsidR="00743042" w:rsidRPr="00547EA0">
        <w:t>Nigerian S</w:t>
      </w:r>
      <w:r w:rsidR="00887E79" w:rsidRPr="00547EA0">
        <w:t xml:space="preserve">ecurities and </w:t>
      </w:r>
      <w:r w:rsidR="00743042" w:rsidRPr="00547EA0">
        <w:t>E</w:t>
      </w:r>
      <w:r w:rsidR="00887E79" w:rsidRPr="00547EA0">
        <w:t xml:space="preserve">xchange Commission (SEC) to </w:t>
      </w:r>
      <w:r w:rsidR="00743042" w:rsidRPr="00547EA0">
        <w:t>regulates debenture stock and the</w:t>
      </w:r>
      <w:r w:rsidR="00887E79" w:rsidRPr="00547EA0">
        <w:t xml:space="preserve"> trust deed that covers such </w:t>
      </w:r>
      <w:r w:rsidR="00743042" w:rsidRPr="00547EA0">
        <w:t xml:space="preserve">securities </w:t>
      </w:r>
      <w:r w:rsidR="00887E79" w:rsidRPr="00547EA0">
        <w:t>is recommended</w:t>
      </w:r>
      <w:r w:rsidR="00743042" w:rsidRPr="00547EA0">
        <w:t>. Without an enabling act like the US.</w:t>
      </w:r>
      <w:r w:rsidR="00887E79" w:rsidRPr="00547EA0">
        <w:t xml:space="preserve"> Trust Indenture Act </w:t>
      </w:r>
      <w:r w:rsidR="00743042" w:rsidRPr="00547EA0">
        <w:t xml:space="preserve">1939 or other </w:t>
      </w:r>
      <w:r w:rsidR="00557A40" w:rsidRPr="00547EA0">
        <w:t>authorizing</w:t>
      </w:r>
      <w:r w:rsidR="00743042" w:rsidRPr="00547EA0">
        <w:t xml:space="preserve"> authority, the</w:t>
      </w:r>
      <w:r w:rsidR="00887E79" w:rsidRPr="00547EA0">
        <w:t xml:space="preserve"> SEC will continue to lag behind in its responsibility to ensure a safe and robust capital market for borrowers and lenders alike. </w:t>
      </w:r>
    </w:p>
    <w:p w14:paraId="22C30A32" w14:textId="5C4C32EB" w:rsidR="00B72999" w:rsidRPr="00547EA0" w:rsidRDefault="00B72999" w:rsidP="00852BE9">
      <w:pPr>
        <w:spacing w:line="480" w:lineRule="auto"/>
        <w:ind w:left="360" w:hanging="360"/>
        <w:jc w:val="both"/>
        <w:rPr>
          <w:bCs/>
        </w:rPr>
      </w:pPr>
    </w:p>
    <w:p w14:paraId="7DC81DA7" w14:textId="77777777" w:rsidR="00E36602" w:rsidRPr="00547EA0" w:rsidRDefault="00E36602" w:rsidP="00852BE9">
      <w:pPr>
        <w:spacing w:line="480" w:lineRule="auto"/>
        <w:ind w:left="360" w:hanging="360"/>
        <w:jc w:val="both"/>
        <w:rPr>
          <w:bCs/>
        </w:rPr>
      </w:pPr>
    </w:p>
    <w:p w14:paraId="738C3E46" w14:textId="2D0E9C84" w:rsidR="006F7369" w:rsidRPr="00547EA0" w:rsidRDefault="00666E2F" w:rsidP="00852BE9">
      <w:pPr>
        <w:spacing w:line="480" w:lineRule="auto"/>
        <w:ind w:left="360" w:hanging="360"/>
        <w:jc w:val="both"/>
        <w:rPr>
          <w:b/>
          <w:bCs/>
        </w:rPr>
      </w:pPr>
      <w:r w:rsidRPr="00547EA0">
        <w:rPr>
          <w:bCs/>
        </w:rPr>
        <w:t xml:space="preserve">5.3 </w:t>
      </w:r>
      <w:r w:rsidRPr="00547EA0">
        <w:rPr>
          <w:b/>
          <w:bCs/>
        </w:rPr>
        <w:t>Recommendation</w:t>
      </w:r>
      <w:r w:rsidR="00547EA0">
        <w:rPr>
          <w:b/>
          <w:bCs/>
        </w:rPr>
        <w:t>s</w:t>
      </w:r>
    </w:p>
    <w:p w14:paraId="3D0E3289" w14:textId="74A5E8F7" w:rsidR="00E70139" w:rsidRPr="00547EA0" w:rsidRDefault="0044694F" w:rsidP="00852BE9">
      <w:pPr>
        <w:spacing w:after="240" w:line="480" w:lineRule="auto"/>
        <w:jc w:val="both"/>
        <w:rPr>
          <w:bCs/>
        </w:rPr>
      </w:pPr>
      <w:r w:rsidRPr="00547EA0">
        <w:rPr>
          <w:rFonts w:ascii="Tahoma" w:hAnsi="Tahoma" w:cs="Tahoma"/>
          <w:bCs/>
        </w:rPr>
        <w:t>﻿</w:t>
      </w:r>
      <w:r w:rsidRPr="00547EA0">
        <w:rPr>
          <w:bCs/>
        </w:rPr>
        <w:t>Th</w:t>
      </w:r>
      <w:r w:rsidR="00E36602" w:rsidRPr="00547EA0">
        <w:rPr>
          <w:bCs/>
        </w:rPr>
        <w:t xml:space="preserve">is paper strongly recommends the enactment of a comprehensive enabling </w:t>
      </w:r>
      <w:r w:rsidR="00E70139" w:rsidRPr="00547EA0">
        <w:rPr>
          <w:bCs/>
        </w:rPr>
        <w:t xml:space="preserve">act specifically designed to govern trust deeds and corporate trustee duties within Nigeria. Such a legislation should address several critical areas: </w:t>
      </w:r>
      <w:r w:rsidRPr="00547EA0">
        <w:rPr>
          <w:bCs/>
        </w:rPr>
        <w:t xml:space="preserve"> </w:t>
      </w:r>
    </w:p>
    <w:p w14:paraId="12CE3067" w14:textId="797AA351" w:rsidR="00E70139" w:rsidRPr="00547EA0" w:rsidRDefault="00E70139" w:rsidP="00852BE9">
      <w:pPr>
        <w:pStyle w:val="ListParagraph"/>
        <w:numPr>
          <w:ilvl w:val="0"/>
          <w:numId w:val="4"/>
        </w:numPr>
        <w:spacing w:after="240" w:line="480" w:lineRule="auto"/>
        <w:jc w:val="both"/>
        <w:rPr>
          <w:rFonts w:ascii="Times New Roman" w:hAnsi="Times New Roman" w:cs="Times New Roman"/>
        </w:rPr>
      </w:pPr>
      <w:r w:rsidRPr="00547EA0">
        <w:rPr>
          <w:rFonts w:ascii="Times New Roman" w:hAnsi="Times New Roman" w:cs="Times New Roman"/>
          <w:b/>
        </w:rPr>
        <w:t>Regulatory Oversight</w:t>
      </w:r>
      <w:r w:rsidRPr="00547EA0">
        <w:rPr>
          <w:rFonts w:ascii="Times New Roman" w:hAnsi="Times New Roman" w:cs="Times New Roman"/>
        </w:rPr>
        <w:t xml:space="preserve">: The </w:t>
      </w:r>
      <w:r w:rsidR="00DF4678" w:rsidRPr="00547EA0">
        <w:rPr>
          <w:rFonts w:ascii="Times New Roman" w:hAnsi="Times New Roman" w:cs="Times New Roman"/>
        </w:rPr>
        <w:t>proposed law</w:t>
      </w:r>
      <w:r w:rsidRPr="00547EA0">
        <w:rPr>
          <w:rFonts w:ascii="Times New Roman" w:hAnsi="Times New Roman" w:cs="Times New Roman"/>
        </w:rPr>
        <w:t xml:space="preserve"> should establish a robust regulatory framework that ensures trust deeds are detailed, enforceable, and aligned with international best practices. It should provide clear guidelines for the drafting, execution, and monitoring of trust deeds, ensuring that all parties’ interests are adequately protected.</w:t>
      </w:r>
    </w:p>
    <w:p w14:paraId="65F90570" w14:textId="6148D024" w:rsidR="00E70139" w:rsidRPr="00547EA0" w:rsidRDefault="00E70139" w:rsidP="00852BE9">
      <w:pPr>
        <w:pStyle w:val="ListParagraph"/>
        <w:numPr>
          <w:ilvl w:val="0"/>
          <w:numId w:val="4"/>
        </w:numPr>
        <w:spacing w:after="240" w:line="480" w:lineRule="auto"/>
        <w:jc w:val="both"/>
        <w:rPr>
          <w:rFonts w:ascii="Times New Roman" w:hAnsi="Times New Roman" w:cs="Times New Roman"/>
        </w:rPr>
      </w:pPr>
      <w:r w:rsidRPr="00547EA0">
        <w:rPr>
          <w:rFonts w:ascii="Times New Roman" w:hAnsi="Times New Roman" w:cs="Times New Roman"/>
          <w:b/>
        </w:rPr>
        <w:t>Clarification and Enforcement of Covenants</w:t>
      </w:r>
      <w:r w:rsidRPr="00547EA0">
        <w:rPr>
          <w:rFonts w:ascii="Times New Roman" w:hAnsi="Times New Roman" w:cs="Times New Roman"/>
        </w:rPr>
        <w:t>: The proposed law should require trust deeds to include specific and enforceable covenants that clearly outline the obligations of debt issuing companies and the rights of debenture holders. This will help to reduce risks associated with asset substitution and other unethical activities carried out by companies that could undermine debenture holders.</w:t>
      </w:r>
    </w:p>
    <w:p w14:paraId="4165DF2D" w14:textId="0541EE7A" w:rsidR="00E70139" w:rsidRPr="00547EA0" w:rsidRDefault="00E70139" w:rsidP="00852BE9">
      <w:pPr>
        <w:pStyle w:val="ListParagraph"/>
        <w:numPr>
          <w:ilvl w:val="0"/>
          <w:numId w:val="4"/>
        </w:numPr>
        <w:spacing w:after="240" w:line="480" w:lineRule="auto"/>
        <w:jc w:val="both"/>
        <w:rPr>
          <w:rFonts w:ascii="Times New Roman" w:hAnsi="Times New Roman" w:cs="Times New Roman"/>
        </w:rPr>
      </w:pPr>
      <w:r w:rsidRPr="00547EA0">
        <w:rPr>
          <w:rFonts w:ascii="Times New Roman" w:hAnsi="Times New Roman" w:cs="Times New Roman"/>
          <w:b/>
        </w:rPr>
        <w:t>Defined Roles and Accountability for Trustees</w:t>
      </w:r>
      <w:r w:rsidR="00DF4678" w:rsidRPr="00547EA0">
        <w:rPr>
          <w:rFonts w:ascii="Times New Roman" w:hAnsi="Times New Roman" w:cs="Times New Roman"/>
          <w:b/>
        </w:rPr>
        <w:t xml:space="preserve">: </w:t>
      </w:r>
      <w:r w:rsidR="00DF4678" w:rsidRPr="00547EA0">
        <w:rPr>
          <w:rFonts w:ascii="Times New Roman" w:hAnsi="Times New Roman" w:cs="Times New Roman"/>
        </w:rPr>
        <w:t>The proposed law should clearly define the roles, responsibilities, and duties of corporate trustee. It should include provisions to ensure transparency, prevent conflicts of interest, and hold trustees accountable for their actions to safeguard the interest of debenture holders.</w:t>
      </w:r>
    </w:p>
    <w:p w14:paraId="0429842C" w14:textId="77777777" w:rsidR="00DF4678" w:rsidRPr="00547EA0" w:rsidRDefault="00DF4678" w:rsidP="00852BE9">
      <w:pPr>
        <w:pStyle w:val="ListParagraph"/>
        <w:numPr>
          <w:ilvl w:val="0"/>
          <w:numId w:val="4"/>
        </w:numPr>
        <w:spacing w:after="240" w:line="480" w:lineRule="auto"/>
        <w:jc w:val="both"/>
        <w:rPr>
          <w:rFonts w:ascii="Times New Roman" w:hAnsi="Times New Roman" w:cs="Times New Roman"/>
        </w:rPr>
      </w:pPr>
      <w:r w:rsidRPr="00547EA0">
        <w:rPr>
          <w:rFonts w:ascii="Times New Roman" w:hAnsi="Times New Roman" w:cs="Times New Roman"/>
          <w:b/>
        </w:rPr>
        <w:t>Alignment with International Standards:</w:t>
      </w:r>
      <w:r w:rsidRPr="00547EA0">
        <w:rPr>
          <w:rFonts w:ascii="Times New Roman" w:hAnsi="Times New Roman" w:cs="Times New Roman"/>
        </w:rPr>
        <w:t xml:space="preserve"> The proposed enabling law should incorporate elements from more developed markets, such as the UK and U.S., to bring Nigerian trust deed practices in line with international standards. This would enhance the credibility and reliability of the Nigerian debt governance framework.</w:t>
      </w:r>
    </w:p>
    <w:p w14:paraId="4D667A30" w14:textId="11DABD3C" w:rsidR="00DF4678" w:rsidRPr="00547EA0" w:rsidRDefault="00DF4678" w:rsidP="00852BE9">
      <w:pPr>
        <w:pStyle w:val="ListParagraph"/>
        <w:numPr>
          <w:ilvl w:val="0"/>
          <w:numId w:val="4"/>
        </w:numPr>
        <w:spacing w:after="240" w:line="480" w:lineRule="auto"/>
        <w:jc w:val="both"/>
        <w:rPr>
          <w:rFonts w:ascii="Times New Roman" w:hAnsi="Times New Roman" w:cs="Times New Roman"/>
        </w:rPr>
      </w:pPr>
      <w:r w:rsidRPr="00547EA0">
        <w:rPr>
          <w:rFonts w:ascii="Times New Roman" w:hAnsi="Times New Roman" w:cs="Times New Roman"/>
        </w:rPr>
        <w:lastRenderedPageBreak/>
        <w:t xml:space="preserve"> </w:t>
      </w:r>
      <w:r w:rsidR="00557A40" w:rsidRPr="00547EA0">
        <w:rPr>
          <w:rFonts w:ascii="Times New Roman" w:hAnsi="Times New Roman" w:cs="Times New Roman"/>
          <w:b/>
        </w:rPr>
        <w:t xml:space="preserve">Regular Review and Adaptation: </w:t>
      </w:r>
      <w:r w:rsidR="00557A40" w:rsidRPr="00547EA0">
        <w:rPr>
          <w:rFonts w:ascii="Times New Roman" w:hAnsi="Times New Roman" w:cs="Times New Roman"/>
        </w:rPr>
        <w:t>To maintain the relevance and effectiveness of trust deeds, the law should mandate periodic reviews and updates to the legal provisions, allowing for adaptation to evolving financial conditions and incorporation of emerging best practices.</w:t>
      </w:r>
    </w:p>
    <w:p w14:paraId="0F9A69DC" w14:textId="51DA9867" w:rsidR="00207BD6" w:rsidRPr="00547EA0" w:rsidRDefault="00207BD6" w:rsidP="00852BE9">
      <w:pPr>
        <w:pStyle w:val="ListParagraph"/>
        <w:numPr>
          <w:ilvl w:val="0"/>
          <w:numId w:val="4"/>
        </w:numPr>
        <w:spacing w:after="240" w:line="480" w:lineRule="auto"/>
        <w:jc w:val="both"/>
        <w:rPr>
          <w:rFonts w:ascii="Times New Roman" w:hAnsi="Times New Roman" w:cs="Times New Roman"/>
        </w:rPr>
      </w:pPr>
      <w:r w:rsidRPr="00547EA0">
        <w:rPr>
          <w:rFonts w:ascii="Times New Roman" w:hAnsi="Times New Roman" w:cs="Times New Roman"/>
          <w:b/>
        </w:rPr>
        <w:t>Capacity Building and Legal Education</w:t>
      </w:r>
      <w:r w:rsidRPr="00547EA0">
        <w:rPr>
          <w:rFonts w:ascii="Times New Roman" w:hAnsi="Times New Roman" w:cs="Times New Roman"/>
        </w:rPr>
        <w:t>: The proposed law should also mandate ongoing training and education for legal practitioners and financial professionals involved in trust deed governance, which will ensure that they are equipped with the knowledge and skills necessary to uphold the highest standards in trust deed management.</w:t>
      </w:r>
    </w:p>
    <w:p w14:paraId="2A7AC71A" w14:textId="10FE1B29" w:rsidR="00207BD6" w:rsidRPr="00547EA0" w:rsidRDefault="00207BD6" w:rsidP="00852BE9">
      <w:pPr>
        <w:spacing w:after="240" w:line="480" w:lineRule="auto"/>
        <w:ind w:left="360"/>
        <w:jc w:val="both"/>
      </w:pPr>
      <w:r w:rsidRPr="00547EA0">
        <w:t>By enacting such a law, Nigeria would not only improve the effectiveness and enforceability of trust deeds but also create a more secure and attractive environment for both domestic and international investors, thus enhancing overall corporate debt governance.</w:t>
      </w:r>
    </w:p>
    <w:p w14:paraId="0FD851B4" w14:textId="3D332D16" w:rsidR="006F7369" w:rsidRPr="00547EA0" w:rsidRDefault="006F7369" w:rsidP="00852BE9">
      <w:pPr>
        <w:spacing w:after="240" w:line="480" w:lineRule="auto"/>
        <w:jc w:val="both"/>
      </w:pPr>
      <w:r w:rsidRPr="00547EA0">
        <w:t xml:space="preserve">. </w:t>
      </w:r>
    </w:p>
    <w:p w14:paraId="10E3F46D" w14:textId="4509463C" w:rsidR="006F7369" w:rsidRPr="00547EA0" w:rsidRDefault="006F7369" w:rsidP="00852BE9">
      <w:pPr>
        <w:spacing w:line="480" w:lineRule="auto"/>
        <w:ind w:left="360" w:hanging="360"/>
        <w:jc w:val="both"/>
        <w:rPr>
          <w:bCs/>
        </w:rPr>
      </w:pPr>
    </w:p>
    <w:p w14:paraId="17C56767" w14:textId="55E7ECCD" w:rsidR="00E16F08" w:rsidRPr="00547EA0" w:rsidRDefault="00E16F08" w:rsidP="00852BE9">
      <w:pPr>
        <w:spacing w:after="240" w:line="480" w:lineRule="auto"/>
        <w:jc w:val="both"/>
      </w:pPr>
    </w:p>
    <w:p w14:paraId="682A1655" w14:textId="77777777" w:rsidR="00E16F08" w:rsidRPr="00547EA0" w:rsidRDefault="00E16F08" w:rsidP="004D530D"/>
    <w:p w14:paraId="07F246A3" w14:textId="77777777" w:rsidR="00E16F08" w:rsidRPr="00547EA0" w:rsidRDefault="00E16F08" w:rsidP="004D530D"/>
    <w:p w14:paraId="4E64F851" w14:textId="77777777" w:rsidR="00E16F08" w:rsidRPr="00547EA0" w:rsidRDefault="00E16F08" w:rsidP="004D530D"/>
    <w:p w14:paraId="4C75FC94" w14:textId="77777777" w:rsidR="00E16F08" w:rsidRPr="00547EA0" w:rsidRDefault="00E16F08" w:rsidP="004D530D"/>
    <w:p w14:paraId="5037C2C2" w14:textId="77777777" w:rsidR="00E16F08" w:rsidRPr="00547EA0" w:rsidRDefault="00E16F08" w:rsidP="004D530D"/>
    <w:p w14:paraId="294A0247" w14:textId="77777777" w:rsidR="00DB2546" w:rsidRPr="00547EA0" w:rsidRDefault="00DB2546" w:rsidP="00DB2546"/>
    <w:p w14:paraId="17EFEACF" w14:textId="77777777" w:rsidR="00DB2546" w:rsidRPr="00547EA0" w:rsidRDefault="00DB2546" w:rsidP="00BC6063"/>
    <w:sectPr w:rsidR="00DB2546" w:rsidRPr="00547EA0" w:rsidSect="001D31BB">
      <w:footerReference w:type="even" r:id="rId8"/>
      <w:footerReference w:type="default" r:id="rId9"/>
      <w:pgSz w:w="12240" w:h="15840"/>
      <w:pgMar w:top="124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D8DC" w14:textId="77777777" w:rsidR="00055DAC" w:rsidRDefault="00055DAC" w:rsidP="003036D3">
      <w:r>
        <w:separator/>
      </w:r>
    </w:p>
  </w:endnote>
  <w:endnote w:type="continuationSeparator" w:id="0">
    <w:p w14:paraId="14EE2190" w14:textId="77777777" w:rsidR="00055DAC" w:rsidRDefault="00055DAC" w:rsidP="0030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8502535"/>
      <w:docPartObj>
        <w:docPartGallery w:val="Page Numbers (Bottom of Page)"/>
        <w:docPartUnique/>
      </w:docPartObj>
    </w:sdtPr>
    <w:sdtEndPr>
      <w:rPr>
        <w:rStyle w:val="PageNumber"/>
      </w:rPr>
    </w:sdtEndPr>
    <w:sdtContent>
      <w:p w14:paraId="2BB55A50" w14:textId="7C73073C" w:rsidR="00207BD6" w:rsidRDefault="00207BD6" w:rsidP="005F44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8D1D99" w14:textId="77777777" w:rsidR="00207BD6" w:rsidRDefault="00207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274027"/>
      <w:docPartObj>
        <w:docPartGallery w:val="Page Numbers (Bottom of Page)"/>
        <w:docPartUnique/>
      </w:docPartObj>
    </w:sdtPr>
    <w:sdtEndPr>
      <w:rPr>
        <w:rStyle w:val="PageNumber"/>
      </w:rPr>
    </w:sdtEndPr>
    <w:sdtContent>
      <w:p w14:paraId="4C8A2F43" w14:textId="091C6C6E" w:rsidR="00207BD6" w:rsidRDefault="00207BD6" w:rsidP="005F44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2469A">
          <w:rPr>
            <w:rStyle w:val="PageNumber"/>
            <w:noProof/>
          </w:rPr>
          <w:t>25</w:t>
        </w:r>
        <w:r>
          <w:rPr>
            <w:rStyle w:val="PageNumber"/>
          </w:rPr>
          <w:fldChar w:fldCharType="end"/>
        </w:r>
      </w:p>
    </w:sdtContent>
  </w:sdt>
  <w:p w14:paraId="7FD5EA4B" w14:textId="77777777" w:rsidR="00207BD6" w:rsidRDefault="00207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1BD0" w14:textId="77777777" w:rsidR="00055DAC" w:rsidRDefault="00055DAC" w:rsidP="003036D3">
      <w:r>
        <w:separator/>
      </w:r>
    </w:p>
  </w:footnote>
  <w:footnote w:type="continuationSeparator" w:id="0">
    <w:p w14:paraId="5EAC06F5" w14:textId="77777777" w:rsidR="00055DAC" w:rsidRDefault="00055DAC" w:rsidP="003036D3">
      <w:r>
        <w:continuationSeparator/>
      </w:r>
    </w:p>
  </w:footnote>
  <w:footnote w:id="1">
    <w:p w14:paraId="0560E7FC" w14:textId="2D5A9FCA" w:rsidR="00207BD6" w:rsidRDefault="00207BD6" w:rsidP="00547EA0">
      <w:pPr>
        <w:pStyle w:val="FootnoteText"/>
        <w:jc w:val="both"/>
      </w:pPr>
      <w:r>
        <w:rPr>
          <w:rStyle w:val="FootnoteReference"/>
        </w:rPr>
        <w:footnoteRef/>
      </w:r>
      <w:r>
        <w:t xml:space="preserve"> </w:t>
      </w:r>
      <w:r w:rsidRPr="00D032D7">
        <w:rPr>
          <w:rFonts w:ascii="Calibri" w:hAnsi="Calibri" w:cs="Calibri"/>
        </w:rPr>
        <w:t>﻿</w:t>
      </w:r>
      <w:r w:rsidRPr="00D032D7">
        <w:t>Davies P. 2008</w:t>
      </w:r>
      <w:r>
        <w:t>, “</w:t>
      </w:r>
      <w:r w:rsidRPr="00B869DD">
        <w:rPr>
          <w:i/>
        </w:rPr>
        <w:t>Davies and Gower Principles of Modern Company Law</w:t>
      </w:r>
      <w:r>
        <w:t>”</w:t>
      </w:r>
      <w:r w:rsidRPr="00D032D7">
        <w:t xml:space="preserve"> p</w:t>
      </w:r>
      <w:r>
        <w:t>.</w:t>
      </w:r>
      <w:r w:rsidRPr="00D032D7">
        <w:t xml:space="preserve"> 1140</w:t>
      </w:r>
      <w:r>
        <w:t xml:space="preserve"> (Hereinafter “</w:t>
      </w:r>
      <w:r w:rsidRPr="00B869DD">
        <w:rPr>
          <w:i/>
        </w:rPr>
        <w:t>Principles of Modern Company Law</w:t>
      </w:r>
      <w:r w:rsidRPr="009D3604">
        <w:t>”)</w:t>
      </w:r>
      <w:r w:rsidRPr="00D032D7">
        <w:t xml:space="preserve">. </w:t>
      </w:r>
      <w:r w:rsidRPr="00D032D7">
        <w:rPr>
          <w:i/>
        </w:rPr>
        <w:t xml:space="preserve">See </w:t>
      </w:r>
      <w:r>
        <w:t>also s.</w:t>
      </w:r>
      <w:r w:rsidRPr="00D032D7">
        <w:t>738 C. A 2006 U.K.</w:t>
      </w:r>
    </w:p>
  </w:footnote>
  <w:footnote w:id="2">
    <w:p w14:paraId="628B7E3E" w14:textId="458CF54E" w:rsidR="00207BD6" w:rsidRPr="00D86C25" w:rsidRDefault="00207BD6" w:rsidP="00547EA0">
      <w:pPr>
        <w:pStyle w:val="FootnoteText"/>
        <w:jc w:val="both"/>
      </w:pPr>
      <w:r>
        <w:rPr>
          <w:rStyle w:val="FootnoteReference"/>
        </w:rPr>
        <w:footnoteRef/>
      </w:r>
      <w:r>
        <w:t xml:space="preserve"> Indenture Trustees are typically financial institutions. </w:t>
      </w:r>
      <w:r w:rsidRPr="00D86C25">
        <w:rPr>
          <w:i/>
        </w:rPr>
        <w:t>See</w:t>
      </w:r>
      <w:r>
        <w:rPr>
          <w:i/>
        </w:rPr>
        <w:t xml:space="preserve"> </w:t>
      </w:r>
      <w:r>
        <w:t xml:space="preserve">THOMSON FIANCIAL US CAPITAL MARKET REVIEW: TRUSTEES (FIRST QUARTER 2007) (Mar. 2006) available at </w:t>
      </w:r>
      <w:hyperlink r:id="rId1" w:history="1">
        <w:r w:rsidRPr="004D36B5">
          <w:rPr>
            <w:rStyle w:val="Hyperlink"/>
          </w:rPr>
          <w:t>http://www.thomson.com/financial/league_table/de/1Q2007/1Q07_DE_US_Trustee</w:t>
        </w:r>
      </w:hyperlink>
      <w:r>
        <w:t xml:space="preserve"> accessed July 26, 2024. </w:t>
      </w:r>
    </w:p>
  </w:footnote>
  <w:footnote w:id="3">
    <w:p w14:paraId="274D6A78" w14:textId="2D738DB1" w:rsidR="00207BD6" w:rsidRDefault="00207BD6" w:rsidP="00547EA0">
      <w:pPr>
        <w:pStyle w:val="FootnoteText"/>
        <w:jc w:val="both"/>
      </w:pPr>
      <w:r>
        <w:rPr>
          <w:rStyle w:val="FootnoteReference"/>
        </w:rPr>
        <w:footnoteRef/>
      </w:r>
      <w:r>
        <w:t xml:space="preserve"> Bayless </w:t>
      </w:r>
      <w:r w:rsidRPr="009F1A43">
        <w:rPr>
          <w:rFonts w:ascii="Calibri" w:hAnsi="Calibri" w:cs="Calibri"/>
        </w:rPr>
        <w:t>﻿</w:t>
      </w:r>
      <w:r w:rsidRPr="009F1A43">
        <w:t>Manning</w:t>
      </w:r>
      <w:r>
        <w:t xml:space="preserve">, </w:t>
      </w:r>
      <w:r w:rsidRPr="009F1A43">
        <w:rPr>
          <w:i/>
        </w:rPr>
        <w:t>A concise text book on legal capital</w:t>
      </w:r>
      <w:r w:rsidRPr="009F1A43">
        <w:t>.</w:t>
      </w:r>
      <w:r>
        <w:t xml:space="preserve"> (</w:t>
      </w:r>
      <w:r w:rsidRPr="009F1A43">
        <w:t>2</w:t>
      </w:r>
      <w:r w:rsidRPr="009F1A43">
        <w:rPr>
          <w:vertAlign w:val="superscript"/>
        </w:rPr>
        <w:t>nd</w:t>
      </w:r>
      <w:r>
        <w:t xml:space="preserve"> </w:t>
      </w:r>
      <w:r w:rsidRPr="009F1A43">
        <w:t>ed</w:t>
      </w:r>
      <w:r>
        <w:t>n. The Foundation Press, Inc.</w:t>
      </w:r>
      <w:r w:rsidRPr="009F1A43">
        <w:t xml:space="preserve"> </w:t>
      </w:r>
      <w:r>
        <w:t>1977).</w:t>
      </w:r>
      <w:r w:rsidRPr="009F1A43">
        <w:t xml:space="preserve"> Discussing statutory legal capital schemes that regulate flow of assets to shareholders- “the legal apparatus built by common Law and statute around the concept of striking a partial accommodation of the conflict of interests between owners and creditors, p.l.</w:t>
      </w:r>
      <w:r>
        <w:t xml:space="preserve"> </w:t>
      </w:r>
      <w:r w:rsidRPr="00C4780F">
        <w:t xml:space="preserve">[hereinafter </w:t>
      </w:r>
      <w:r>
        <w:t>MANNING</w:t>
      </w:r>
      <w:r w:rsidRPr="00C4780F">
        <w:t>]</w:t>
      </w:r>
    </w:p>
  </w:footnote>
  <w:footnote w:id="4">
    <w:p w14:paraId="0FE8BAA2" w14:textId="4330D59E" w:rsidR="00207BD6" w:rsidRDefault="00207BD6" w:rsidP="00547EA0">
      <w:pPr>
        <w:pStyle w:val="FootnoteText"/>
        <w:jc w:val="both"/>
      </w:pPr>
      <w:r>
        <w:rPr>
          <w:rStyle w:val="FootnoteReference"/>
        </w:rPr>
        <w:footnoteRef/>
      </w:r>
      <w:r>
        <w:t xml:space="preserve"> Kenneth Lehn &amp; Annette Poulsen, “Contractual Resolution of Bondholder-Stockholder Conflicts in Leveraged Buyouts” (1991</w:t>
      </w:r>
      <w:r w:rsidRPr="002B1C5E">
        <w:rPr>
          <w:i/>
        </w:rPr>
        <w:t>) Journal of Law and Economics</w:t>
      </w:r>
      <w:r>
        <w:t xml:space="preserve"> Vol. XXXIV. pp. 645 – 674. Arguing that the evolution of event-risk covenants in bond contracts may have mitigated the need for bondholders to hedge their investment through convertible bonds and cross-ownership of firm’s bonds and stocks. </w:t>
      </w:r>
    </w:p>
  </w:footnote>
  <w:footnote w:id="5">
    <w:p w14:paraId="06C5AC56" w14:textId="0F735A7D" w:rsidR="00207BD6" w:rsidRPr="00960806" w:rsidRDefault="00207BD6" w:rsidP="00547EA0">
      <w:pPr>
        <w:pStyle w:val="FootnoteText"/>
        <w:jc w:val="both"/>
      </w:pPr>
      <w:r>
        <w:rPr>
          <w:rStyle w:val="FootnoteReference"/>
        </w:rPr>
        <w:footnoteRef/>
      </w:r>
      <w:r>
        <w:t xml:space="preserve"> For example, the rating agency, Moody’s Investors Service in 2006 reported thirty-three defaults of the worst type – payment defaults (majorly bankruptcies) in the United States alone on nearly $7.8 billion of bonds by corporate issuers. </w:t>
      </w:r>
      <w:r w:rsidRPr="00EA02D8">
        <w:rPr>
          <w:i/>
        </w:rPr>
        <w:t xml:space="preserve">See </w:t>
      </w:r>
      <w:r>
        <w:t xml:space="preserve">MOODY’S INVESTORS SERVICE, SPECIAL COMMENT: CORPORATE DEFAULT AND RECOVERY RATES, 1920 – 2006, at p.4 (Feb. 2007) </w:t>
      </w:r>
      <w:r w:rsidRPr="00960806">
        <w:rPr>
          <w:i/>
        </w:rPr>
        <w:t xml:space="preserve">available at </w:t>
      </w:r>
      <w:hyperlink r:id="rId2" w:history="1">
        <w:r w:rsidRPr="004D36B5">
          <w:rPr>
            <w:rStyle w:val="Hyperlink"/>
          </w:rPr>
          <w:t>http://www.moodys.com/cust/content/Content.ashx?source=Static</w:t>
        </w:r>
      </w:hyperlink>
      <w:proofErr w:type="gramStart"/>
      <w:r w:rsidRPr="008241CB">
        <w:rPr>
          <w:u w:val="single"/>
        </w:rPr>
        <w:t>Content/Free%20Pages/Regulatory%20Affairs/Documents/default_and_recovery_rates_02_07.pdf</w:t>
      </w:r>
      <w:r>
        <w:t>(</w:t>
      </w:r>
      <w:proofErr w:type="gramEnd"/>
      <w:r>
        <w:t>reporting on payment defaults, bankruptcies and distressed bond exchanges) accessed July 25, 2024.</w:t>
      </w:r>
    </w:p>
  </w:footnote>
  <w:footnote w:id="6">
    <w:p w14:paraId="1F507084" w14:textId="4577990D" w:rsidR="00207BD6" w:rsidRPr="00F1686F" w:rsidRDefault="00207BD6" w:rsidP="00547EA0">
      <w:pPr>
        <w:pStyle w:val="FootnoteText"/>
        <w:jc w:val="both"/>
        <w:rPr>
          <w:color w:val="4472C4" w:themeColor="accent1"/>
          <w:u w:val="single"/>
        </w:rPr>
      </w:pPr>
      <w:r>
        <w:rPr>
          <w:rStyle w:val="FootnoteReference"/>
        </w:rPr>
        <w:footnoteRef/>
      </w:r>
      <w:r>
        <w:t xml:space="preserve"> </w:t>
      </w:r>
      <w:r w:rsidRPr="00F1686F">
        <w:rPr>
          <w:i/>
        </w:rPr>
        <w:t>See</w:t>
      </w:r>
      <w:r>
        <w:rPr>
          <w:i/>
        </w:rPr>
        <w:t xml:space="preserve"> </w:t>
      </w:r>
      <w:r>
        <w:t xml:space="preserve">Olivia Raimonde &amp; Alicia Clanton, “Junk-Bond Market Gets Riskier With Erosion in Credit Quality” (February 20, 2024) available at </w:t>
      </w:r>
      <w:hyperlink r:id="rId3" w:history="1">
        <w:r w:rsidRPr="004D36B5">
          <w:rPr>
            <w:rStyle w:val="Hyperlink"/>
          </w:rPr>
          <w:t>https://www.bloomberg.com/news/articles/2024-02-20/junk-bond-market-is-getting-junkier-that-makes-it-riskier-too</w:t>
        </w:r>
      </w:hyperlink>
      <w:r w:rsidRPr="00F1686F">
        <w:rPr>
          <w:color w:val="000000" w:themeColor="text1"/>
        </w:rPr>
        <w:t>&gt;</w:t>
      </w:r>
      <w:r>
        <w:rPr>
          <w:color w:val="000000" w:themeColor="text1"/>
        </w:rPr>
        <w:t xml:space="preserve"> accessed July 24, 2024.</w:t>
      </w:r>
    </w:p>
  </w:footnote>
  <w:footnote w:id="7">
    <w:p w14:paraId="2CC043E4" w14:textId="3231445E" w:rsidR="00207BD6" w:rsidRDefault="00207BD6" w:rsidP="00547EA0">
      <w:pPr>
        <w:pStyle w:val="FootnoteText"/>
        <w:jc w:val="both"/>
      </w:pPr>
      <w:r>
        <w:rPr>
          <w:rStyle w:val="FootnoteReference"/>
        </w:rPr>
        <w:footnoteRef/>
      </w:r>
      <w:r>
        <w:t xml:space="preserve"> </w:t>
      </w:r>
      <w:r w:rsidRPr="00AB5BCB">
        <w:rPr>
          <w:i/>
        </w:rPr>
        <w:t>See</w:t>
      </w:r>
      <w:r>
        <w:t xml:space="preserve"> Douglas G. Baird &amp; Robert K. Rasmussen, “</w:t>
      </w:r>
      <w:r w:rsidRPr="00AF7D25">
        <w:rPr>
          <w:i/>
        </w:rPr>
        <w:t>Private debt and the missing lever of corporate governance</w:t>
      </w:r>
      <w:r>
        <w:t>”, 154 U.PA.L.REV. 1209 (2006). (</w:t>
      </w:r>
      <w:proofErr w:type="gramStart"/>
      <w:r>
        <w:t>examining</w:t>
      </w:r>
      <w:proofErr w:type="gramEnd"/>
      <w:r>
        <w:t xml:space="preserve"> the role of private creditors in corporate governance).</w:t>
      </w:r>
    </w:p>
  </w:footnote>
  <w:footnote w:id="8">
    <w:p w14:paraId="33F382C9" w14:textId="6F1D42C1" w:rsidR="00207BD6" w:rsidRDefault="00207BD6" w:rsidP="00547EA0">
      <w:pPr>
        <w:pStyle w:val="FootnoteText"/>
        <w:jc w:val="both"/>
      </w:pPr>
      <w:r>
        <w:rPr>
          <w:rStyle w:val="FootnoteReference"/>
        </w:rPr>
        <w:footnoteRef/>
      </w:r>
      <w:r>
        <w:t xml:space="preserve"> </w:t>
      </w:r>
      <w:r w:rsidRPr="00F1353C">
        <w:rPr>
          <w:i/>
        </w:rPr>
        <w:t>See</w:t>
      </w:r>
      <w:r>
        <w:t xml:space="preserve"> Clifford Smith &amp; Jerold Warner, “</w:t>
      </w:r>
      <w:r w:rsidRPr="00592CFE">
        <w:rPr>
          <w:i/>
        </w:rPr>
        <w:t>On Financial Contracting: An analysis of Bond Covenants</w:t>
      </w:r>
      <w:r>
        <w:t>”, 7 Journal of Financial Economics. 177 (1979).</w:t>
      </w:r>
    </w:p>
  </w:footnote>
  <w:footnote w:id="9">
    <w:p w14:paraId="7CCA34B3" w14:textId="3B77AF91" w:rsidR="00207BD6" w:rsidRDefault="00207BD6" w:rsidP="00547EA0">
      <w:pPr>
        <w:pStyle w:val="FootnoteText"/>
        <w:jc w:val="both"/>
      </w:pPr>
      <w:r>
        <w:rPr>
          <w:rStyle w:val="FootnoteReference"/>
        </w:rPr>
        <w:footnoteRef/>
      </w:r>
      <w:r>
        <w:t xml:space="preserve"> In addition to statutes restricting the ability of firms to pay dividends, some U.S courts further restricted this right. See e.g., </w:t>
      </w:r>
      <w:r w:rsidRPr="00BF76CB">
        <w:rPr>
          <w:i/>
        </w:rPr>
        <w:t xml:space="preserve">Davenport v. Lines </w:t>
      </w:r>
      <w:r>
        <w:t>72 Conn. 118 (1899). Although British corporate law in the 1880s also restricted the payment of dividends in a similar way, Adolf A. Berle &amp; Gardener C. Means, “</w:t>
      </w:r>
      <w:r w:rsidRPr="00CA3872">
        <w:rPr>
          <w:i/>
        </w:rPr>
        <w:t>The Modern Corporation and Private Property</w:t>
      </w:r>
      <w:r>
        <w:t>” 133 (1932), indicate that this “</w:t>
      </w:r>
      <w:r w:rsidRPr="00D04406">
        <w:rPr>
          <w:i/>
        </w:rPr>
        <w:t>may have been an American invention, the English law not having laid down any clear principle until the latter half of the Nineteenth century</w:t>
      </w:r>
      <w:r>
        <w:t>”.</w:t>
      </w:r>
    </w:p>
  </w:footnote>
  <w:footnote w:id="10">
    <w:p w14:paraId="414CE819" w14:textId="0965CD7E" w:rsidR="00207BD6" w:rsidRDefault="00207BD6" w:rsidP="00547EA0">
      <w:pPr>
        <w:pStyle w:val="FootnoteText"/>
        <w:jc w:val="both"/>
      </w:pPr>
      <w:r>
        <w:rPr>
          <w:rStyle w:val="FootnoteReference"/>
        </w:rPr>
        <w:footnoteRef/>
      </w:r>
      <w:r>
        <w:t xml:space="preserve"> </w:t>
      </w:r>
      <w:r w:rsidRPr="00CF27E4">
        <w:rPr>
          <w:i/>
        </w:rPr>
        <w:t xml:space="preserve">See </w:t>
      </w:r>
      <w:r>
        <w:t xml:space="preserve">Morey McDaniel, “Bondholders &amp; Stockholders”, 13 </w:t>
      </w:r>
      <w:r w:rsidRPr="00BF76CB">
        <w:rPr>
          <w:i/>
        </w:rPr>
        <w:t>Journal of Corporate Law</w:t>
      </w:r>
      <w:r>
        <w:t xml:space="preserve"> (1988) pp.214-217.</w:t>
      </w:r>
    </w:p>
  </w:footnote>
  <w:footnote w:id="11">
    <w:p w14:paraId="459FB223" w14:textId="2E33A87D" w:rsidR="00207BD6" w:rsidRDefault="00207BD6" w:rsidP="00547EA0">
      <w:pPr>
        <w:pStyle w:val="FootnoteText"/>
        <w:jc w:val="both"/>
      </w:pPr>
      <w:r>
        <w:rPr>
          <w:rStyle w:val="FootnoteReference"/>
        </w:rPr>
        <w:footnoteRef/>
      </w:r>
      <w:r>
        <w:t xml:space="preserve"> </w:t>
      </w:r>
      <w:r w:rsidRPr="00CF27E4">
        <w:rPr>
          <w:i/>
        </w:rPr>
        <w:t>See</w:t>
      </w:r>
      <w:r>
        <w:t xml:space="preserve"> Churchill Rodgers, “The Corporate Trust Indenture Project”, Vol. </w:t>
      </w:r>
      <w:r w:rsidRPr="008E074E">
        <w:t xml:space="preserve">20 </w:t>
      </w:r>
      <w:r w:rsidRPr="00F810A3">
        <w:rPr>
          <w:i/>
        </w:rPr>
        <w:t>Business Law</w:t>
      </w:r>
      <w:r>
        <w:t xml:space="preserve"> 551 (1965) p.554.</w:t>
      </w:r>
    </w:p>
  </w:footnote>
  <w:footnote w:id="12">
    <w:p w14:paraId="1FB875FE" w14:textId="276BC12B" w:rsidR="00207BD6" w:rsidRDefault="00207BD6" w:rsidP="00547EA0">
      <w:pPr>
        <w:pStyle w:val="FootnoteText"/>
        <w:jc w:val="both"/>
      </w:pPr>
      <w:r>
        <w:rPr>
          <w:rStyle w:val="FootnoteReference"/>
        </w:rPr>
        <w:footnoteRef/>
      </w:r>
      <w:r>
        <w:t xml:space="preserve"> Rodgers </w:t>
      </w:r>
      <w:r w:rsidRPr="00A6281E">
        <w:rPr>
          <w:i/>
        </w:rPr>
        <w:t xml:space="preserve">id </w:t>
      </w:r>
      <w:r>
        <w:t>at p.561.</w:t>
      </w:r>
    </w:p>
  </w:footnote>
  <w:footnote w:id="13">
    <w:p w14:paraId="30A1F56E" w14:textId="15084129" w:rsidR="00207BD6" w:rsidRDefault="00207BD6" w:rsidP="00547EA0">
      <w:pPr>
        <w:pStyle w:val="FootnoteText"/>
        <w:jc w:val="both"/>
      </w:pPr>
      <w:r>
        <w:rPr>
          <w:rStyle w:val="FootnoteReference"/>
        </w:rPr>
        <w:footnoteRef/>
      </w:r>
      <w:r>
        <w:t xml:space="preserve"> Lehn &amp; Poulsen, </w:t>
      </w:r>
      <w:r w:rsidRPr="00A6281E">
        <w:rPr>
          <w:i/>
        </w:rPr>
        <w:t xml:space="preserve">supra </w:t>
      </w:r>
      <w:r>
        <w:t>note 4 at p.653.</w:t>
      </w:r>
    </w:p>
  </w:footnote>
  <w:footnote w:id="14">
    <w:p w14:paraId="7CE49C05" w14:textId="7A3AB637" w:rsidR="00207BD6" w:rsidRDefault="00207BD6" w:rsidP="00547EA0">
      <w:pPr>
        <w:pStyle w:val="FootnoteText"/>
        <w:jc w:val="both"/>
      </w:pPr>
      <w:r>
        <w:rPr>
          <w:rStyle w:val="FootnoteReference"/>
        </w:rPr>
        <w:footnoteRef/>
      </w:r>
      <w:r>
        <w:t xml:space="preserve"> </w:t>
      </w:r>
      <w:r w:rsidRPr="003139CF">
        <w:rPr>
          <w:rFonts w:ascii="Calibri" w:hAnsi="Calibri" w:cs="Calibri"/>
        </w:rPr>
        <w:t>﻿</w:t>
      </w:r>
      <w:r w:rsidRPr="003139CF">
        <w:t>Schmitthof C.M. 1939. The origin of joint stock company, Toronto Law Journal.3.74-96</w:t>
      </w:r>
      <w:r>
        <w:t>.</w:t>
      </w:r>
    </w:p>
  </w:footnote>
  <w:footnote w:id="15">
    <w:p w14:paraId="4F7CBCD5" w14:textId="45C6D498" w:rsidR="00207BD6" w:rsidRDefault="00207BD6" w:rsidP="00547EA0">
      <w:pPr>
        <w:pStyle w:val="FootnoteText"/>
        <w:jc w:val="both"/>
      </w:pPr>
      <w:r>
        <w:rPr>
          <w:rStyle w:val="FootnoteReference"/>
        </w:rPr>
        <w:footnoteRef/>
      </w:r>
      <w:r>
        <w:t xml:space="preserve"> </w:t>
      </w:r>
      <w:r w:rsidRPr="003139CF">
        <w:rPr>
          <w:rFonts w:ascii="Calibri" w:hAnsi="Calibri" w:cs="Calibri"/>
        </w:rPr>
        <w:t>﻿</w:t>
      </w:r>
      <w:r w:rsidRPr="003139CF">
        <w:t xml:space="preserve">Gower L.C.B. </w:t>
      </w:r>
      <w:r>
        <w:t>(</w:t>
      </w:r>
      <w:r w:rsidRPr="003139CF">
        <w:t>1979</w:t>
      </w:r>
      <w:r>
        <w:t>)</w:t>
      </w:r>
      <w:r w:rsidRPr="003139CF">
        <w:t xml:space="preserve"> </w:t>
      </w:r>
      <w:r>
        <w:t>“</w:t>
      </w:r>
      <w:proofErr w:type="gramStart"/>
      <w:r w:rsidRPr="003139CF">
        <w:t>Gowers</w:t>
      </w:r>
      <w:proofErr w:type="gramEnd"/>
      <w:r w:rsidRPr="003139CF">
        <w:t xml:space="preserve"> principles of company law</w:t>
      </w:r>
      <w:r>
        <w:t>”</w:t>
      </w:r>
      <w:r w:rsidRPr="003139CF">
        <w:t xml:space="preserve"> 4th ed. London; Stevens and Sons</w:t>
      </w:r>
      <w:r>
        <w:t xml:space="preserve"> at p.</w:t>
      </w:r>
      <w:r w:rsidRPr="003139CF">
        <w:t xml:space="preserve"> 22</w:t>
      </w:r>
      <w:r>
        <w:t>.</w:t>
      </w:r>
    </w:p>
  </w:footnote>
  <w:footnote w:id="16">
    <w:p w14:paraId="262B285D" w14:textId="6195527B" w:rsidR="00207BD6" w:rsidRDefault="00207BD6" w:rsidP="00547EA0">
      <w:pPr>
        <w:pStyle w:val="FootnoteText"/>
        <w:jc w:val="both"/>
      </w:pPr>
      <w:r>
        <w:rPr>
          <w:rStyle w:val="FootnoteReference"/>
        </w:rPr>
        <w:footnoteRef/>
      </w:r>
      <w:r>
        <w:t xml:space="preserve"> </w:t>
      </w:r>
      <w:r w:rsidRPr="00C4780F">
        <w:rPr>
          <w:rFonts w:ascii="Calibri" w:hAnsi="Calibri" w:cs="Calibri"/>
        </w:rPr>
        <w:t>﻿</w:t>
      </w:r>
      <w:r w:rsidRPr="00C4780F">
        <w:t xml:space="preserve">5 </w:t>
      </w:r>
      <w:proofErr w:type="gramStart"/>
      <w:r w:rsidRPr="00C4780F">
        <w:t>COLLIER</w:t>
      </w:r>
      <w:proofErr w:type="gramEnd"/>
      <w:r w:rsidRPr="00C4780F">
        <w:t xml:space="preserve"> ON BANKR</w:t>
      </w:r>
      <w:r>
        <w:t>U</w:t>
      </w:r>
      <w:r w:rsidRPr="00C4780F">
        <w:t>PT</w:t>
      </w:r>
      <w:r>
        <w:t>C</w:t>
      </w:r>
      <w:r w:rsidRPr="00C4780F">
        <w:t>Y 1129.03 (15th ed. 1991) [hereinafter COLLIER].</w:t>
      </w:r>
    </w:p>
  </w:footnote>
  <w:footnote w:id="17">
    <w:p w14:paraId="269EB1B4" w14:textId="592032F0" w:rsidR="00207BD6" w:rsidRDefault="00207BD6" w:rsidP="00547EA0">
      <w:pPr>
        <w:pStyle w:val="FootnoteText"/>
        <w:jc w:val="both"/>
      </w:pPr>
      <w:r>
        <w:rPr>
          <w:rStyle w:val="FootnoteReference"/>
        </w:rPr>
        <w:footnoteRef/>
      </w:r>
      <w:r>
        <w:t xml:space="preserve"> </w:t>
      </w:r>
      <w:r>
        <w:rPr>
          <w:rFonts w:ascii="Calibri" w:hAnsi="Calibri" w:cs="Calibri"/>
        </w:rPr>
        <w:t>﻿</w:t>
      </w:r>
      <w:r>
        <w:t xml:space="preserve"> MANNING, </w:t>
      </w:r>
      <w:r w:rsidRPr="0047601F">
        <w:rPr>
          <w:i/>
        </w:rPr>
        <w:t>supra note</w:t>
      </w:r>
      <w:r>
        <w:t xml:space="preserve"> 3, at p.1 (discussing statutory legal capital schemes that regulate flow of assets to shareholders). "</w:t>
      </w:r>
      <w:r w:rsidRPr="0047601F">
        <w:rPr>
          <w:i/>
        </w:rPr>
        <w:t xml:space="preserve">The legal apparatus built by common law and statute around the concept of 'legal capital' is fundamentally aimed at striking a partial accommodation of </w:t>
      </w:r>
      <w:r>
        <w:t>[</w:t>
      </w:r>
      <w:r w:rsidRPr="0047601F">
        <w:rPr>
          <w:i/>
        </w:rPr>
        <w:t>the conflict of interests between owners and creditors</w:t>
      </w:r>
      <w:r>
        <w:t>]."</w:t>
      </w:r>
    </w:p>
  </w:footnote>
  <w:footnote w:id="18">
    <w:p w14:paraId="79869ADC" w14:textId="18A640A3" w:rsidR="00207BD6" w:rsidRDefault="00207BD6" w:rsidP="00547EA0">
      <w:pPr>
        <w:pStyle w:val="FootnoteText"/>
        <w:jc w:val="both"/>
      </w:pPr>
      <w:r>
        <w:rPr>
          <w:rStyle w:val="FootnoteReference"/>
        </w:rPr>
        <w:footnoteRef/>
      </w:r>
      <w:r>
        <w:t xml:space="preserve"> </w:t>
      </w:r>
      <w:r w:rsidRPr="005C224D">
        <w:rPr>
          <w:rFonts w:ascii="Calibri" w:hAnsi="Calibri" w:cs="Calibri"/>
        </w:rPr>
        <w:t>﻿</w:t>
      </w:r>
      <w:r w:rsidRPr="005C224D">
        <w:t>In the United States,</w:t>
      </w:r>
      <w:r>
        <w:rPr>
          <w:rFonts w:ascii="Calibri" w:hAnsi="Calibri" w:cs="Calibri"/>
        </w:rPr>
        <w:t xml:space="preserve"> </w:t>
      </w:r>
      <w:r>
        <w:t xml:space="preserve">state fraudulent conveyance laws act to protect creditors from expropriation of assets. See </w:t>
      </w:r>
      <w:r w:rsidRPr="005C224D">
        <w:rPr>
          <w:i/>
        </w:rPr>
        <w:t>United States v. West</w:t>
      </w:r>
      <w:r>
        <w:t>, 299 F. Supp. 661 (D. Del. 1969). The Bankruptcy Code also protects creditors from fraudulent conveyances. See 11 U.S.C. § 548(a)(1) (1988).</w:t>
      </w:r>
    </w:p>
  </w:footnote>
  <w:footnote w:id="19">
    <w:p w14:paraId="08B7C656" w14:textId="77777777" w:rsidR="00207BD6" w:rsidRDefault="00207BD6" w:rsidP="00547EA0">
      <w:pPr>
        <w:pStyle w:val="FootnoteText"/>
        <w:jc w:val="both"/>
      </w:pPr>
      <w:r>
        <w:rPr>
          <w:rStyle w:val="FootnoteReference"/>
        </w:rPr>
        <w:footnoteRef/>
      </w:r>
      <w:r>
        <w:t xml:space="preserve"> </w:t>
      </w:r>
      <w:r>
        <w:rPr>
          <w:rFonts w:ascii="Calibri" w:hAnsi="Calibri" w:cs="Calibri"/>
        </w:rPr>
        <w:t>﻿</w:t>
      </w:r>
      <w:r w:rsidRPr="00AF087C">
        <w:rPr>
          <w:i/>
        </w:rPr>
        <w:t>See Metropolitan Life Ins. Co. v. RJR Nabisco, Inc.,</w:t>
      </w:r>
      <w:r>
        <w:t xml:space="preserve"> 716 F. Supp. 1504, 1507 n.6</w:t>
      </w:r>
    </w:p>
    <w:p w14:paraId="35873E99" w14:textId="0D4098E1" w:rsidR="00207BD6" w:rsidRDefault="00207BD6" w:rsidP="00547EA0">
      <w:pPr>
        <w:pStyle w:val="FootnoteText"/>
        <w:jc w:val="both"/>
      </w:pPr>
      <w:r>
        <w:t>(S.D.N.Y. 1989).</w:t>
      </w:r>
    </w:p>
  </w:footnote>
  <w:footnote w:id="20">
    <w:p w14:paraId="3A606C29" w14:textId="2A98487B" w:rsidR="00207BD6" w:rsidRDefault="00207BD6" w:rsidP="00547EA0">
      <w:pPr>
        <w:pStyle w:val="FootnoteText"/>
        <w:jc w:val="both"/>
      </w:pPr>
      <w:r>
        <w:rPr>
          <w:rStyle w:val="FootnoteReference"/>
        </w:rPr>
        <w:footnoteRef/>
      </w:r>
      <w:r>
        <w:t xml:space="preserve"> MANNING </w:t>
      </w:r>
      <w:r w:rsidRPr="003139CF">
        <w:rPr>
          <w:i/>
        </w:rPr>
        <w:t>supra</w:t>
      </w:r>
      <w:r>
        <w:t xml:space="preserve"> note 3 at p.1.</w:t>
      </w:r>
    </w:p>
  </w:footnote>
  <w:footnote w:id="21">
    <w:p w14:paraId="12C143FB" w14:textId="491BDA45" w:rsidR="00207BD6" w:rsidRDefault="00207BD6" w:rsidP="00547EA0">
      <w:pPr>
        <w:pStyle w:val="FootnoteText"/>
        <w:jc w:val="both"/>
      </w:pPr>
      <w:r>
        <w:rPr>
          <w:rStyle w:val="FootnoteReference"/>
        </w:rPr>
        <w:footnoteRef/>
      </w:r>
      <w:r>
        <w:t xml:space="preserve"> </w:t>
      </w:r>
      <w:r w:rsidRPr="002A37A2">
        <w:t xml:space="preserve">See Section </w:t>
      </w:r>
      <w:r>
        <w:t>44</w:t>
      </w:r>
      <w:r w:rsidRPr="002A37A2">
        <w:t xml:space="preserve"> CAMA 20</w:t>
      </w:r>
      <w:r>
        <w:t>20.</w:t>
      </w:r>
    </w:p>
  </w:footnote>
  <w:footnote w:id="22">
    <w:p w14:paraId="0916326B" w14:textId="0E9044AC" w:rsidR="00207BD6" w:rsidRDefault="00207BD6" w:rsidP="00547EA0">
      <w:pPr>
        <w:pStyle w:val="FootnoteText"/>
        <w:jc w:val="both"/>
      </w:pPr>
      <w:r>
        <w:rPr>
          <w:rStyle w:val="FootnoteReference"/>
        </w:rPr>
        <w:footnoteRef/>
      </w:r>
      <w:r>
        <w:t xml:space="preserve"> </w:t>
      </w:r>
      <w:r w:rsidRPr="002A37A2">
        <w:rPr>
          <w:rFonts w:ascii="Calibri" w:hAnsi="Calibri" w:cs="Calibri"/>
        </w:rPr>
        <w:t>﻿</w:t>
      </w:r>
      <w:r w:rsidRPr="00454D88">
        <w:rPr>
          <w:i/>
        </w:rPr>
        <w:t xml:space="preserve"> </w:t>
      </w:r>
      <w:r w:rsidRPr="00AF087C">
        <w:rPr>
          <w:i/>
        </w:rPr>
        <w:t>Metropolitan Life Ins. Co. v. RJR Nabisco, Inc.</w:t>
      </w:r>
      <w:r>
        <w:rPr>
          <w:i/>
        </w:rPr>
        <w:t xml:space="preserve"> </w:t>
      </w:r>
      <w:r w:rsidRPr="00454D88">
        <w:t>supra note 19</w:t>
      </w:r>
      <w:r>
        <w:rPr>
          <w:i/>
        </w:rPr>
        <w:t>.</w:t>
      </w:r>
    </w:p>
  </w:footnote>
  <w:footnote w:id="23">
    <w:p w14:paraId="62ADE294" w14:textId="2C09EC15" w:rsidR="00207BD6" w:rsidRDefault="00207BD6" w:rsidP="00547EA0">
      <w:pPr>
        <w:pStyle w:val="FootnoteText"/>
        <w:jc w:val="both"/>
      </w:pPr>
      <w:r>
        <w:rPr>
          <w:rStyle w:val="FootnoteReference"/>
        </w:rPr>
        <w:footnoteRef/>
      </w:r>
      <w:r>
        <w:t xml:space="preserve"> </w:t>
      </w:r>
      <w:r w:rsidRPr="002A37A2">
        <w:rPr>
          <w:rFonts w:ascii="Calibri" w:hAnsi="Calibri" w:cs="Calibri"/>
        </w:rPr>
        <w:t>﻿</w:t>
      </w:r>
      <w:r w:rsidRPr="002A37A2">
        <w:t>Debenture holders are limited to contract remedies in the absence of fraud insolvency or a violation of a statute. See also Davies P. 2008. Davies and Gower principles of modem company law. P</w:t>
      </w:r>
      <w:r>
        <w:t xml:space="preserve">. </w:t>
      </w:r>
      <w:r w:rsidRPr="002A37A2">
        <w:t>1148.</w:t>
      </w:r>
    </w:p>
  </w:footnote>
  <w:footnote w:id="24">
    <w:p w14:paraId="03E06A28" w14:textId="6019D8F7" w:rsidR="00207BD6" w:rsidRDefault="00207BD6" w:rsidP="00547EA0">
      <w:pPr>
        <w:pStyle w:val="FootnoteText"/>
        <w:jc w:val="both"/>
      </w:pPr>
      <w:r>
        <w:rPr>
          <w:rStyle w:val="FootnoteReference"/>
        </w:rPr>
        <w:footnoteRef/>
      </w:r>
      <w:r>
        <w:t xml:space="preserve"> </w:t>
      </w:r>
      <w:r w:rsidRPr="00341B4D">
        <w:rPr>
          <w:rFonts w:ascii="Calibri" w:hAnsi="Calibri" w:cs="Calibri"/>
        </w:rPr>
        <w:t>﻿</w:t>
      </w:r>
      <w:r w:rsidRPr="00341B4D">
        <w:t xml:space="preserve">See </w:t>
      </w:r>
      <w:r>
        <w:t>s.</w:t>
      </w:r>
      <w:r w:rsidRPr="00341B4D">
        <w:t>1</w:t>
      </w:r>
      <w:r>
        <w:t>60</w:t>
      </w:r>
      <w:r w:rsidRPr="00341B4D">
        <w:t xml:space="preserve"> CAMA 20</w:t>
      </w:r>
      <w:r>
        <w:t>20</w:t>
      </w:r>
      <w:r w:rsidRPr="00341B4D">
        <w:t>.</w:t>
      </w:r>
    </w:p>
  </w:footnote>
  <w:footnote w:id="25">
    <w:p w14:paraId="1EFF6CEB" w14:textId="411F129D" w:rsidR="00207BD6" w:rsidRDefault="00207BD6" w:rsidP="00547EA0">
      <w:pPr>
        <w:pStyle w:val="FootnoteText"/>
        <w:jc w:val="both"/>
      </w:pPr>
      <w:r>
        <w:rPr>
          <w:rStyle w:val="FootnoteReference"/>
        </w:rPr>
        <w:footnoteRef/>
      </w:r>
      <w:r>
        <w:t xml:space="preserve"> </w:t>
      </w:r>
      <w:r w:rsidRPr="00341B4D">
        <w:rPr>
          <w:rFonts w:ascii="Calibri" w:hAnsi="Calibri" w:cs="Calibri"/>
        </w:rPr>
        <w:t>﻿</w:t>
      </w:r>
      <w:r w:rsidRPr="00341B4D">
        <w:t>S</w:t>
      </w:r>
      <w:r>
        <w:t>ee s.</w:t>
      </w:r>
      <w:r w:rsidRPr="00341B4D">
        <w:t>2</w:t>
      </w:r>
      <w:r>
        <w:t>72</w:t>
      </w:r>
      <w:r w:rsidRPr="00341B4D">
        <w:t xml:space="preserve"> CAMA</w:t>
      </w:r>
      <w:r>
        <w:t xml:space="preserve"> </w:t>
      </w:r>
      <w:r w:rsidRPr="00341B4D">
        <w:t>20</w:t>
      </w:r>
      <w:r>
        <w:t>20</w:t>
      </w:r>
      <w:r w:rsidRPr="00341B4D">
        <w:t>.</w:t>
      </w:r>
    </w:p>
  </w:footnote>
  <w:footnote w:id="26">
    <w:p w14:paraId="4080C666" w14:textId="050770A5" w:rsidR="00207BD6" w:rsidRDefault="00207BD6" w:rsidP="00547EA0">
      <w:pPr>
        <w:pStyle w:val="FootnoteText"/>
        <w:jc w:val="both"/>
      </w:pPr>
      <w:r>
        <w:rPr>
          <w:rStyle w:val="FootnoteReference"/>
        </w:rPr>
        <w:footnoteRef/>
      </w:r>
      <w:r>
        <w:t xml:space="preserve"> </w:t>
      </w:r>
      <w:r w:rsidRPr="004B19B7">
        <w:rPr>
          <w:rFonts w:ascii="Calibri" w:hAnsi="Calibri" w:cs="Calibri"/>
        </w:rPr>
        <w:t>﻿</w:t>
      </w:r>
      <w:r w:rsidRPr="004B19B7">
        <w:t xml:space="preserve">Section </w:t>
      </w:r>
      <w:r>
        <w:t>211(6)</w:t>
      </w:r>
      <w:r w:rsidRPr="004B19B7">
        <w:t xml:space="preserve"> CAMA 20</w:t>
      </w:r>
      <w:r>
        <w:t>20.</w:t>
      </w:r>
    </w:p>
  </w:footnote>
  <w:footnote w:id="27">
    <w:p w14:paraId="0CB3B1B1" w14:textId="022938C6" w:rsidR="00207BD6" w:rsidRDefault="00207BD6" w:rsidP="00547EA0">
      <w:pPr>
        <w:pStyle w:val="FootnoteText"/>
        <w:jc w:val="both"/>
      </w:pPr>
      <w:r>
        <w:rPr>
          <w:rStyle w:val="FootnoteReference"/>
        </w:rPr>
        <w:footnoteRef/>
      </w:r>
      <w:r>
        <w:t xml:space="preserve"> </w:t>
      </w:r>
      <w:r w:rsidRPr="00C10EA6">
        <w:t xml:space="preserve">See I O Smith, </w:t>
      </w:r>
      <w:r w:rsidRPr="00C10EA6">
        <w:rPr>
          <w:i/>
        </w:rPr>
        <w:t>Nigerian Law of Secured Credit</w:t>
      </w:r>
      <w:r w:rsidRPr="00C10EA6">
        <w:t xml:space="preserve"> (Ecowatch Publications Limited, Lagos, 2001) </w:t>
      </w:r>
      <w:r>
        <w:t>294.</w:t>
      </w:r>
    </w:p>
  </w:footnote>
  <w:footnote w:id="28">
    <w:p w14:paraId="03A79023" w14:textId="3379FB29" w:rsidR="00207BD6" w:rsidRDefault="00207BD6" w:rsidP="00547EA0">
      <w:pPr>
        <w:pStyle w:val="FootnoteText"/>
        <w:jc w:val="both"/>
      </w:pPr>
      <w:r>
        <w:rPr>
          <w:rStyle w:val="FootnoteReference"/>
        </w:rPr>
        <w:footnoteRef/>
      </w:r>
      <w:r>
        <w:t xml:space="preserve"> </w:t>
      </w:r>
      <w:r w:rsidRPr="00C10EA6">
        <w:rPr>
          <w:rFonts w:ascii="Calibri" w:hAnsi="Calibri" w:cs="Calibri"/>
        </w:rPr>
        <w:t>﻿</w:t>
      </w:r>
      <w:r w:rsidRPr="00C10EA6">
        <w:t>Section</w:t>
      </w:r>
      <w:r>
        <w:t xml:space="preserve"> </w:t>
      </w:r>
      <w:r w:rsidRPr="00C10EA6">
        <w:t>71(2) of the ISA.</w:t>
      </w:r>
    </w:p>
  </w:footnote>
  <w:footnote w:id="29">
    <w:p w14:paraId="70F89CD8" w14:textId="0B063277" w:rsidR="00207BD6" w:rsidRDefault="00207BD6" w:rsidP="00547EA0">
      <w:pPr>
        <w:pStyle w:val="FootnoteText"/>
        <w:jc w:val="both"/>
      </w:pPr>
      <w:r>
        <w:rPr>
          <w:rStyle w:val="FootnoteReference"/>
        </w:rPr>
        <w:footnoteRef/>
      </w:r>
      <w:r>
        <w:t xml:space="preserve"> </w:t>
      </w:r>
      <w:r w:rsidRPr="00351B6D">
        <w:rPr>
          <w:rFonts w:ascii="Calibri" w:hAnsi="Calibri" w:cs="Calibri"/>
        </w:rPr>
        <w:t>﻿</w:t>
      </w:r>
      <w:r w:rsidRPr="00351B6D">
        <w:t>Section</w:t>
      </w:r>
      <w:r>
        <w:t xml:space="preserve"> 208</w:t>
      </w:r>
      <w:r w:rsidRPr="00351B6D">
        <w:t>(2) of CAMA.</w:t>
      </w:r>
    </w:p>
  </w:footnote>
  <w:footnote w:id="30">
    <w:p w14:paraId="5078AD9B" w14:textId="4836658F" w:rsidR="00207BD6" w:rsidRDefault="00207BD6" w:rsidP="00547EA0">
      <w:pPr>
        <w:pStyle w:val="FootnoteText"/>
        <w:jc w:val="both"/>
      </w:pPr>
      <w:r>
        <w:rPr>
          <w:rStyle w:val="FootnoteReference"/>
        </w:rPr>
        <w:footnoteRef/>
      </w:r>
      <w:r>
        <w:t xml:space="preserve"> </w:t>
      </w:r>
      <w:r w:rsidRPr="00351B6D">
        <w:t>Section</w:t>
      </w:r>
      <w:r>
        <w:t xml:space="preserve"> 208</w:t>
      </w:r>
      <w:r w:rsidRPr="00351B6D">
        <w:t>(3)(</w:t>
      </w:r>
      <w:r>
        <w:t>a</w:t>
      </w:r>
      <w:r w:rsidRPr="00351B6D">
        <w:t>) of CAMA</w:t>
      </w:r>
    </w:p>
  </w:footnote>
  <w:footnote w:id="31">
    <w:p w14:paraId="7FBB4056" w14:textId="06F03538" w:rsidR="00207BD6" w:rsidRDefault="00207BD6" w:rsidP="00547EA0">
      <w:pPr>
        <w:pStyle w:val="FootnoteText"/>
        <w:jc w:val="both"/>
      </w:pPr>
      <w:r>
        <w:rPr>
          <w:rStyle w:val="FootnoteReference"/>
        </w:rPr>
        <w:footnoteRef/>
      </w:r>
      <w:r>
        <w:t xml:space="preserve"> </w:t>
      </w:r>
      <w:r w:rsidRPr="00351B6D">
        <w:rPr>
          <w:rFonts w:ascii="Calibri" w:hAnsi="Calibri" w:cs="Calibri"/>
        </w:rPr>
        <w:t>﻿</w:t>
      </w:r>
      <w:r w:rsidRPr="00351B6D">
        <w:t>Section</w:t>
      </w:r>
      <w:r>
        <w:t xml:space="preserve"> 208</w:t>
      </w:r>
      <w:r w:rsidRPr="00351B6D">
        <w:t>(3)(c) of CAMA.</w:t>
      </w:r>
    </w:p>
  </w:footnote>
  <w:footnote w:id="32">
    <w:p w14:paraId="3BAE9ED9" w14:textId="488DE753" w:rsidR="00207BD6" w:rsidRDefault="00207BD6" w:rsidP="00547EA0">
      <w:pPr>
        <w:pStyle w:val="FootnoteText"/>
        <w:jc w:val="both"/>
      </w:pPr>
      <w:r>
        <w:rPr>
          <w:rStyle w:val="FootnoteReference"/>
        </w:rPr>
        <w:footnoteRef/>
      </w:r>
      <w:r>
        <w:t xml:space="preserve"> </w:t>
      </w:r>
      <w:r w:rsidRPr="00AC6406">
        <w:rPr>
          <w:rFonts w:ascii="Calibri" w:hAnsi="Calibri" w:cs="Calibri"/>
        </w:rPr>
        <w:t>﻿</w:t>
      </w:r>
      <w:r w:rsidRPr="00AC6406">
        <w:t xml:space="preserve">Section </w:t>
      </w:r>
      <w:r>
        <w:t>208</w:t>
      </w:r>
      <w:r w:rsidRPr="00AC6406">
        <w:t>(6)(a) of CAMA.</w:t>
      </w:r>
    </w:p>
  </w:footnote>
  <w:footnote w:id="33">
    <w:p w14:paraId="28D1A34D" w14:textId="01C80A15" w:rsidR="00207BD6" w:rsidRDefault="00207BD6" w:rsidP="00547EA0">
      <w:pPr>
        <w:pStyle w:val="FootnoteText"/>
        <w:jc w:val="both"/>
      </w:pPr>
      <w:r>
        <w:rPr>
          <w:rStyle w:val="FootnoteReference"/>
        </w:rPr>
        <w:footnoteRef/>
      </w:r>
      <w:r>
        <w:t xml:space="preserve"> </w:t>
      </w:r>
      <w:r w:rsidRPr="00BE7B99">
        <w:rPr>
          <w:rFonts w:ascii="Calibri" w:hAnsi="Calibri" w:cs="Calibri"/>
        </w:rPr>
        <w:t>﻿</w:t>
      </w:r>
      <w:r w:rsidRPr="00BE7B99">
        <w:t xml:space="preserve">Section </w:t>
      </w:r>
      <w:r>
        <w:t xml:space="preserve">208 </w:t>
      </w:r>
      <w:r w:rsidRPr="00BE7B99">
        <w:t>(6)(b) of CAMA. The consequence for default in executing debenture trust deed when required or issuing debentures under a trust deed which covers two or more classes of debentures is that the directors of the company are guilty of an offence and liable on conviction to a fine of N5,000 jointly or severally- section</w:t>
      </w:r>
      <w:r>
        <w:t xml:space="preserve"> 208</w:t>
      </w:r>
      <w:r w:rsidRPr="00BE7B99">
        <w:t>(7) of CAMA.</w:t>
      </w:r>
    </w:p>
  </w:footnote>
  <w:footnote w:id="34">
    <w:p w14:paraId="19CD9B98" w14:textId="65CACF17" w:rsidR="00207BD6" w:rsidRDefault="00207BD6" w:rsidP="00547EA0">
      <w:pPr>
        <w:pStyle w:val="FootnoteText"/>
        <w:jc w:val="both"/>
      </w:pPr>
      <w:r>
        <w:rPr>
          <w:rStyle w:val="FootnoteReference"/>
        </w:rPr>
        <w:footnoteRef/>
      </w:r>
      <w:r>
        <w:t xml:space="preserve"> </w:t>
      </w:r>
      <w:r w:rsidRPr="005576DC">
        <w:rPr>
          <w:i/>
        </w:rPr>
        <w:t>See</w:t>
      </w:r>
      <w:r>
        <w:t xml:space="preserve"> s.211(2) CAMA. A similar provision is codified in the Trust Indenture Act of 1939 U.S.C </w:t>
      </w:r>
      <w:r>
        <w:rPr>
          <w:rFonts w:ascii="Century Schoolbook" w:hAnsi="Century Schoolbook"/>
        </w:rPr>
        <w:t>§</w:t>
      </w:r>
      <w:r>
        <w:t>77ooo(c) which provides that the indenture trustee must “exercise…</w:t>
      </w:r>
      <w:proofErr w:type="gramStart"/>
      <w:r>
        <w:t>…..</w:t>
      </w:r>
      <w:proofErr w:type="gramEnd"/>
      <w:r>
        <w:t>such of the rights and powers vested in it by such indenture, and [must] use the same degree of care and skill in their exercise, as a prudent man would exercise or use under the circumstances in the conduct of his affairs.”</w:t>
      </w:r>
    </w:p>
  </w:footnote>
  <w:footnote w:id="35">
    <w:p w14:paraId="49EEA5FF" w14:textId="45786A27" w:rsidR="00207BD6" w:rsidRDefault="00207BD6" w:rsidP="00547EA0">
      <w:pPr>
        <w:pStyle w:val="FootnoteText"/>
        <w:jc w:val="both"/>
      </w:pPr>
      <w:r>
        <w:rPr>
          <w:rStyle w:val="FootnoteReference"/>
        </w:rPr>
        <w:footnoteRef/>
      </w:r>
      <w:r>
        <w:t xml:space="preserve"> See s.211(4) CAMA.</w:t>
      </w:r>
    </w:p>
  </w:footnote>
  <w:footnote w:id="36">
    <w:p w14:paraId="31051697" w14:textId="06EC0AC1" w:rsidR="00207BD6" w:rsidRDefault="00207BD6" w:rsidP="00547EA0">
      <w:pPr>
        <w:pStyle w:val="FootnoteText"/>
        <w:jc w:val="both"/>
      </w:pPr>
      <w:r>
        <w:rPr>
          <w:rStyle w:val="FootnoteReference"/>
        </w:rPr>
        <w:footnoteRef/>
      </w:r>
      <w:r>
        <w:t xml:space="preserve"> </w:t>
      </w:r>
      <w:r>
        <w:fldChar w:fldCharType="begin" w:fldLock="1"/>
      </w:r>
      <w:r>
        <w:instrText>ADDIN CSL_CITATION {"citationItems":[{"id":"ITEM-1","itemData":{"DOI":"10.1017/S1566752906000395","ISSN":"17416205","abstract":"This article examines contractual protection of unsecured financial creditors in US credit markets. Borrowers and lenders in the United States contract against a minimal legal background that imposes the burden of protection on the lender. A working, constantly updated, set of contractual protections has emerged in response. But actual use of available contractual technology varies widely, depending on the level of risk and the institutional context. The credit markets sort borrowers according to the degree of the risk of financial distress, imposing substantial constraints only on the borrowers with the most dangerous incentives. At the same time, the contracting practice is sticky and lumpy, never quite managing to conform to the predictions of first generation agency theory. Levels of protection vary with institutional contexts. Exhaustive contracts providing something approaching complete protection against agency costs prove feasible only in relational contexts conducive to ongoing renegotiation over time due to small numbers of lenders operating under reputational constraints. The public bond markets do not hold out such a process context, and accordingly shut out the riskiest borrowers. The larger, less risky firms that do gain access to the bond markets borrow under contracts offering incomplete protection, with the level of protection roughly correlating to the borrower's risk level. This leaves bondholders confronting a residuum of agency costs and relying on secondary protections like monitoring, exit, diversification, and hedging. This has worked reasonably well in practice, subject to an historical exception concerning the risk of high-leverage restructuring. The bond markets searched for two decades for a stable solution to this problem, finally settling on across-the-board contractual protection only in recent years.","author":[{"dropping-particle":"","family":"Bratton","given":"William W.","non-dropping-particle":"","parse-names":false,"suffix":""}],"container-title":"European Business Organization Law Review","id":"ITEM-1","issue":"1","issued":{"date-parts":[["2006"]]},"page":"39-87","title":"Bond covenants and creditor protection: Economics and law, theory and practice, substance and process","type":"article-journal","volume":"7"},"uris":["http://www.mendeley.com/documents/?uuid=caf37a65-b2b9-4621-aa29-0df3df06560e"]}],"mendeley":{"formattedCitation":"William W. Bratton, ‘Bond Covenants and Creditor Protection: Economics and Law, Theory and Practice, Substance and Process’, &lt;i&gt;European Business Organization Law Review&lt;/i&gt;, 7.1 (2006), 39–87 &lt;https://doi.org/10.1017/S1566752906000395&gt;.","plainTextFormattedCitation":"William W. Bratton, ‘Bond Covenants and Creditor Protection: Economics and Law, Theory and Practice, Substance and Process’, European Business Organization Law Review, 7.1 (2006), 39–87 .","previouslyFormattedCitation":"William W. Bratton, ‘Bond Covenants and Creditor Protection: Economics and Law, Theory and Practice, Substance and Process’, &lt;i&gt;European Business Organization Law Review&lt;/i&gt;, 7.1 (2006), 39–87 &lt;https://doi.org/10.1017/S1566752906000395&gt;."},"properties":{"noteIndex":36},"schema":"https://github.com/citation-style-language/schema/raw/master/csl-citation.json"}</w:instrText>
      </w:r>
      <w:r>
        <w:fldChar w:fldCharType="separate"/>
      </w:r>
      <w:r w:rsidRPr="00D472C5">
        <w:rPr>
          <w:noProof/>
        </w:rPr>
        <w:t xml:space="preserve">William W. Bratton, ‘Bond Covenants and Creditor Protection: Economics and Law, Theory and Practice, Substance and Process’, </w:t>
      </w:r>
      <w:r w:rsidRPr="00D472C5">
        <w:rPr>
          <w:i/>
          <w:noProof/>
        </w:rPr>
        <w:t>European Business Organization Law Review</w:t>
      </w:r>
      <w:r w:rsidRPr="00D472C5">
        <w:rPr>
          <w:noProof/>
        </w:rPr>
        <w:t>, 7.1 (2006), 39–87 &lt;https://doi.org/10.1017/S1566752906000395&gt;.</w:t>
      </w:r>
      <w:r>
        <w:fldChar w:fldCharType="end"/>
      </w:r>
      <w:r>
        <w:t xml:space="preserve"> (Discussing about the whole range of negative covenants and restrictions in the debt contracting process of a borrowing company in the capital market which includes, but is not limited to, restrictions on debt, prior claims, dividends and other payments, and mergers and sale of assets, investments.) </w:t>
      </w:r>
    </w:p>
  </w:footnote>
  <w:footnote w:id="37">
    <w:p w14:paraId="4D6EB2A2" w14:textId="7CD31049" w:rsidR="00207BD6" w:rsidRDefault="00207BD6" w:rsidP="00547EA0">
      <w:pPr>
        <w:pStyle w:val="FootnoteText"/>
        <w:jc w:val="both"/>
      </w:pPr>
      <w:r>
        <w:rPr>
          <w:rStyle w:val="FootnoteReference"/>
        </w:rPr>
        <w:footnoteRef/>
      </w:r>
      <w:r>
        <w:t xml:space="preserve"> </w:t>
      </w:r>
      <w:r w:rsidRPr="00E03664">
        <w:rPr>
          <w:i/>
        </w:rPr>
        <w:t>Ibid</w:t>
      </w:r>
      <w:r>
        <w:t>.</w:t>
      </w:r>
    </w:p>
  </w:footnote>
  <w:footnote w:id="38">
    <w:p w14:paraId="2F60016D" w14:textId="7E8BE38B" w:rsidR="00207BD6" w:rsidRDefault="00207BD6" w:rsidP="00547EA0">
      <w:pPr>
        <w:pStyle w:val="FootnoteText"/>
        <w:jc w:val="both"/>
      </w:pPr>
      <w:r>
        <w:rPr>
          <w:rStyle w:val="FootnoteReference"/>
        </w:rPr>
        <w:footnoteRef/>
      </w:r>
      <w:r>
        <w:t xml:space="preserve"> </w:t>
      </w:r>
      <w:r w:rsidRPr="00A8545A">
        <w:rPr>
          <w:i/>
        </w:rPr>
        <w:t>See</w:t>
      </w:r>
      <w:r>
        <w:t xml:space="preserve"> e.g., Paul Asquith &amp; E. Han Kim, “The Impact of Merger Bids on the Participating Firms’ Security Holders”, 37 </w:t>
      </w:r>
      <w:r w:rsidRPr="00026E98">
        <w:rPr>
          <w:i/>
        </w:rPr>
        <w:t>Journal of Finance</w:t>
      </w:r>
      <w:r>
        <w:t xml:space="preserve"> 1209 (1982).</w:t>
      </w:r>
    </w:p>
  </w:footnote>
  <w:footnote w:id="39">
    <w:p w14:paraId="1D939A4B" w14:textId="1199C6A1" w:rsidR="00207BD6" w:rsidRDefault="00207BD6" w:rsidP="00547EA0">
      <w:pPr>
        <w:pStyle w:val="FootnoteText"/>
        <w:jc w:val="both"/>
      </w:pPr>
      <w:r>
        <w:rPr>
          <w:rStyle w:val="FootnoteReference"/>
        </w:rPr>
        <w:footnoteRef/>
      </w:r>
      <w:r>
        <w:t xml:space="preserve"> 716 F. Supp. 1504, 1519 (S.D.N.Y 1989).</w:t>
      </w:r>
    </w:p>
  </w:footnote>
  <w:footnote w:id="40">
    <w:p w14:paraId="27788FCD" w14:textId="4A5CD3AA" w:rsidR="00207BD6" w:rsidRDefault="00207BD6" w:rsidP="00547EA0">
      <w:pPr>
        <w:pStyle w:val="FootnoteText"/>
        <w:jc w:val="both"/>
      </w:pPr>
      <w:r>
        <w:rPr>
          <w:rStyle w:val="FootnoteReference"/>
        </w:rPr>
        <w:footnoteRef/>
      </w:r>
      <w:r>
        <w:t xml:space="preserve"> </w:t>
      </w:r>
      <w:r>
        <w:fldChar w:fldCharType="begin" w:fldLock="1"/>
      </w:r>
      <w:r>
        <w:instrText>ADDIN CSL_CITATION {"citationItems":[{"id":"ITEM-1","itemData":{"author":[{"dropping-particle":"","family":"Smith","given":"W","non-dropping-particle":"","parse-names":false,"suffix":""},{"dropping-particle":"","family":"Warner","given":"B","non-dropping-particle":"","parse-names":false,"suffix":""}],"id":"ITEM-1","issued":{"date-parts":[["1979"]]},"title":"ON FINANCIAL CONTRACTING An Analysis of Bond Covenants","type":"article-journal","volume":"7"},"uris":["http://www.mendeley.com/documents/?uuid=32ecd1a4-f0a5-4621-b327-e76883a1bdc2"]}],"mendeley":{"formattedCitation":"W Smith and B Warner, ‘ON FINANCIAL CONTRACTING An Analysis of Bond Covenants’, 7 (1979).","manualFormatting":"W Smith and B Warner, \"ON FINANCIAL CONTRACTING An Analysis of Bond Covenants\", 7 Journal of Financial Economics (1979) 117 - 161.","plainTextFormattedCitation":"W Smith and B Warner, ‘ON FINANCIAL CONTRACTING An Analysis of Bond Covenants’, 7 (1979).","previouslyFormattedCitation":"W Smith and B Warner, ‘ON FINANCIAL CONTRACTING An Analysis of Bond Covenants’, 7 (1979)."},"properties":{"noteIndex":40},"schema":"https://github.com/citation-style-language/schema/raw/master/csl-citation.json"}</w:instrText>
      </w:r>
      <w:r>
        <w:fldChar w:fldCharType="separate"/>
      </w:r>
      <w:r w:rsidRPr="00D703D9">
        <w:rPr>
          <w:noProof/>
        </w:rPr>
        <w:t xml:space="preserve">W Smith and B Warner, </w:t>
      </w:r>
      <w:r>
        <w:rPr>
          <w:noProof/>
        </w:rPr>
        <w:t>"</w:t>
      </w:r>
      <w:r w:rsidRPr="00D703D9">
        <w:rPr>
          <w:noProof/>
        </w:rPr>
        <w:t>ON FINANCIAL CONTRACTING An Analysis of Bond Covenants</w:t>
      </w:r>
      <w:r>
        <w:rPr>
          <w:noProof/>
        </w:rPr>
        <w:t>"</w:t>
      </w:r>
      <w:r w:rsidRPr="00D703D9">
        <w:rPr>
          <w:noProof/>
        </w:rPr>
        <w:t xml:space="preserve">, 7 </w:t>
      </w:r>
      <w:r w:rsidRPr="00D703D9">
        <w:rPr>
          <w:i/>
          <w:noProof/>
        </w:rPr>
        <w:t xml:space="preserve">Journal of Financial Economics </w:t>
      </w:r>
      <w:r w:rsidRPr="00D703D9">
        <w:rPr>
          <w:noProof/>
        </w:rPr>
        <w:t>(1979)</w:t>
      </w:r>
      <w:r>
        <w:rPr>
          <w:noProof/>
        </w:rPr>
        <w:t xml:space="preserve"> 117 - 161</w:t>
      </w:r>
      <w:r w:rsidRPr="00D703D9">
        <w:rPr>
          <w:noProof/>
        </w:rPr>
        <w:t>.</w:t>
      </w:r>
      <w:r>
        <w:fldChar w:fldCharType="end"/>
      </w:r>
    </w:p>
  </w:footnote>
  <w:footnote w:id="41">
    <w:p w14:paraId="5577C71E" w14:textId="2A2C3A10" w:rsidR="00207BD6" w:rsidRDefault="00207BD6" w:rsidP="00547EA0">
      <w:pPr>
        <w:pStyle w:val="FootnoteText"/>
        <w:jc w:val="both"/>
      </w:pPr>
      <w:r>
        <w:rPr>
          <w:rStyle w:val="FootnoteReference"/>
        </w:rPr>
        <w:footnoteRef/>
      </w:r>
      <w:r>
        <w:t xml:space="preserve"> </w:t>
      </w:r>
      <w:r w:rsidRPr="00D703D9">
        <w:rPr>
          <w:i/>
        </w:rPr>
        <w:t>i</w:t>
      </w:r>
      <w:r>
        <w:rPr>
          <w:i/>
        </w:rPr>
        <w:t>bi</w:t>
      </w:r>
      <w:r w:rsidRPr="00D703D9">
        <w:rPr>
          <w:i/>
        </w:rPr>
        <w:t>d</w:t>
      </w:r>
      <w:r>
        <w:t xml:space="preserve"> at 131.</w:t>
      </w:r>
    </w:p>
  </w:footnote>
  <w:footnote w:id="42">
    <w:p w14:paraId="37D6ECFC" w14:textId="383717A6" w:rsidR="00207BD6" w:rsidRPr="00AB5A13" w:rsidRDefault="00207BD6" w:rsidP="00547EA0">
      <w:pPr>
        <w:pStyle w:val="FootnoteText"/>
        <w:jc w:val="both"/>
        <w:rPr>
          <w:i/>
        </w:rPr>
      </w:pPr>
      <w:r>
        <w:rPr>
          <w:rStyle w:val="FootnoteReference"/>
        </w:rPr>
        <w:footnoteRef/>
      </w:r>
      <w:r>
        <w:t xml:space="preserve"> </w:t>
      </w:r>
      <w:r w:rsidRPr="00AB5A13">
        <w:rPr>
          <w:i/>
        </w:rPr>
        <w:t>I</w:t>
      </w:r>
      <w:r>
        <w:rPr>
          <w:i/>
        </w:rPr>
        <w:t>bi</w:t>
      </w:r>
      <w:r w:rsidRPr="00AB5A13">
        <w:rPr>
          <w:i/>
        </w:rPr>
        <w:t>d</w:t>
      </w:r>
      <w:r>
        <w:rPr>
          <w:i/>
        </w:rPr>
        <w:t>.</w:t>
      </w:r>
    </w:p>
  </w:footnote>
  <w:footnote w:id="43">
    <w:p w14:paraId="497D9E93" w14:textId="63B17750" w:rsidR="00207BD6" w:rsidRDefault="00207BD6" w:rsidP="00547EA0">
      <w:pPr>
        <w:pStyle w:val="FootnoteText"/>
        <w:jc w:val="both"/>
      </w:pPr>
      <w:r>
        <w:rPr>
          <w:rStyle w:val="FootnoteReference"/>
        </w:rPr>
        <w:footnoteRef/>
      </w:r>
      <w:r>
        <w:t xml:space="preserve"> </w:t>
      </w:r>
      <w:r>
        <w:fldChar w:fldCharType="begin" w:fldLock="1"/>
      </w:r>
      <w:r>
        <w:instrText>ADDIN CSL_CITATION {"citationItems":[{"id":"ITEM-1","itemData":{"author":[{"dropping-particle":"","family":"Harvey","given":"David M W","non-dropping-particle":"","parse-names":false,"suffix":""}],"id":"ITEM-1","issue":"4","issued":{"date-parts":[["1991"]]},"title":"St . John ' s Law Review Bondholders ' Rights and the Case for a Fiduciary Duty BONDHOLDERS ' RIGHTS AND THE CASE FOR A FIDUCIARY DUTY","type":"article-journal","volume":"65"},"uris":["http://www.mendeley.com/documents/?uuid=350fd924-1680-430e-b559-3cbed6ee076f"]}],"mendeley":{"formattedCitation":"David M W Harvey, ‘St . John ’ s Law Review Bondholders ’ Rights and the Case for a Fiduciary Duty BONDHOLDERS ’ RIGHTS AND THE CASE FOR A FIDUCIARY DUTY’, 65.4 (1991).","manualFormatting":"David M W Harvey, \"Rights and the Case for a Fiduciary Duty\"  St . John ’ s Law Review Bondholders (1991) 65.4.","plainTextFormattedCitation":"David M W Harvey, ‘St . John ’ s Law Review Bondholders ’ Rights and the Case for a Fiduciary Duty BONDHOLDERS ’ RIGHTS AND THE CASE FOR A FIDUCIARY DUTY’, 65.4 (1991).","previouslyFormattedCitation":"David M W Harvey, ‘St . John ’ s Law Review Bondholders ’ Rights and the Case for a Fiduciary Duty BONDHOLDERS ’ RIGHTS AND THE CASE FOR A FIDUCIARY DUTY’, 65.4 (1991)."},"properties":{"noteIndex":43},"schema":"https://github.com/citation-style-language/schema/raw/master/csl-citation.json"}</w:instrText>
      </w:r>
      <w:r>
        <w:fldChar w:fldCharType="separate"/>
      </w:r>
      <w:r w:rsidRPr="00124A96">
        <w:rPr>
          <w:noProof/>
        </w:rPr>
        <w:t xml:space="preserve">David M W Harvey, </w:t>
      </w:r>
      <w:r>
        <w:rPr>
          <w:noProof/>
        </w:rPr>
        <w:t>"</w:t>
      </w:r>
      <w:r w:rsidRPr="00124A96">
        <w:rPr>
          <w:noProof/>
        </w:rPr>
        <w:t>Rights and the Case for a Fiduciary Duty</w:t>
      </w:r>
      <w:r>
        <w:rPr>
          <w:noProof/>
        </w:rPr>
        <w:t xml:space="preserve">" </w:t>
      </w:r>
      <w:r w:rsidRPr="00124A96">
        <w:rPr>
          <w:noProof/>
        </w:rPr>
        <w:t xml:space="preserve"> </w:t>
      </w:r>
      <w:r w:rsidRPr="00124A96">
        <w:rPr>
          <w:i/>
          <w:noProof/>
        </w:rPr>
        <w:t>St . John ’ s Law Review Bondholders</w:t>
      </w:r>
      <w:r w:rsidRPr="00124A96">
        <w:rPr>
          <w:noProof/>
        </w:rPr>
        <w:t xml:space="preserve"> (1991) 65.4.</w:t>
      </w:r>
      <w:r>
        <w:fldChar w:fldCharType="end"/>
      </w:r>
    </w:p>
  </w:footnote>
  <w:footnote w:id="44">
    <w:p w14:paraId="312711FD" w14:textId="6582823E" w:rsidR="00207BD6" w:rsidRDefault="00207BD6" w:rsidP="00547EA0">
      <w:pPr>
        <w:pStyle w:val="FootnoteText"/>
        <w:jc w:val="both"/>
      </w:pPr>
      <w:r>
        <w:rPr>
          <w:rStyle w:val="FootnoteReference"/>
        </w:rPr>
        <w:footnoteRef/>
      </w:r>
      <w:r>
        <w:t xml:space="preserve"> </w:t>
      </w:r>
      <w:r w:rsidRPr="00720520">
        <w:rPr>
          <w:i/>
        </w:rPr>
        <w:t>Concord Trust Limited v. Law Debenture Trust Corporation Plc</w:t>
      </w:r>
      <w:r>
        <w:t xml:space="preserve"> [2005] UKHL 27.</w:t>
      </w:r>
    </w:p>
  </w:footnote>
  <w:footnote w:id="45">
    <w:p w14:paraId="294DE1B0" w14:textId="0FC61268" w:rsidR="00207BD6" w:rsidRDefault="00207BD6" w:rsidP="00547EA0">
      <w:pPr>
        <w:pStyle w:val="FootnoteText"/>
        <w:jc w:val="both"/>
      </w:pPr>
      <w:r w:rsidRPr="00521D36">
        <w:rPr>
          <w:rStyle w:val="FootnoteReference"/>
        </w:rPr>
        <w:footnoteRef/>
      </w:r>
      <w:r w:rsidRPr="00521D36">
        <w:t xml:space="preserve"> </w:t>
      </w:r>
      <w:r w:rsidRPr="00521D36">
        <w:rPr>
          <w:rFonts w:ascii="Calibri" w:hAnsi="Calibri" w:cs="Calibri"/>
        </w:rPr>
        <w:t>﻿</w:t>
      </w:r>
      <w:r w:rsidRPr="00521D36">
        <w:t>Section 233(2)(a) CAMA, 2020.</w:t>
      </w:r>
    </w:p>
  </w:footnote>
  <w:footnote w:id="46">
    <w:p w14:paraId="2BDCCDF9" w14:textId="100F58B7" w:rsidR="00207BD6" w:rsidRDefault="00207BD6" w:rsidP="00547EA0">
      <w:pPr>
        <w:pStyle w:val="FootnoteText"/>
        <w:jc w:val="both"/>
      </w:pPr>
      <w:r>
        <w:rPr>
          <w:rStyle w:val="FootnoteReference"/>
        </w:rPr>
        <w:footnoteRef/>
      </w:r>
      <w:r>
        <w:t xml:space="preserve"> </w:t>
      </w:r>
      <w:r w:rsidRPr="00CD6E64">
        <w:rPr>
          <w:rFonts w:ascii="Calibri" w:hAnsi="Calibri" w:cs="Calibri"/>
        </w:rPr>
        <w:t>﻿</w:t>
      </w:r>
      <w:r w:rsidRPr="00CD6E64">
        <w:t>The debenture trust deed is an example of contractual efforts calculated to enhance the value of the security.</w:t>
      </w:r>
    </w:p>
  </w:footnote>
  <w:footnote w:id="47">
    <w:p w14:paraId="1760EC7A" w14:textId="37FC0949" w:rsidR="00207BD6" w:rsidRDefault="00207BD6" w:rsidP="00547EA0">
      <w:pPr>
        <w:pStyle w:val="FootnoteText"/>
        <w:jc w:val="both"/>
      </w:pPr>
      <w:r>
        <w:rPr>
          <w:rStyle w:val="FootnoteReference"/>
        </w:rPr>
        <w:footnoteRef/>
      </w:r>
      <w:r>
        <w:t xml:space="preserve"> </w:t>
      </w:r>
      <w:r w:rsidRPr="00FA1B9D">
        <w:rPr>
          <w:rFonts w:ascii="Calibri" w:hAnsi="Calibri" w:cs="Calibri"/>
          <w:highlight w:val="red"/>
        </w:rPr>
        <w:t>﻿</w:t>
      </w:r>
      <w:r w:rsidRPr="00FA1B9D">
        <w:t xml:space="preserve"> </w:t>
      </w:r>
      <w:r>
        <w:t>“</w:t>
      </w:r>
      <w:r w:rsidRPr="00D25737">
        <w:rPr>
          <w:i/>
        </w:rPr>
        <w:t>Principles of Modern Company Law</w:t>
      </w:r>
      <w:r>
        <w:rPr>
          <w:i/>
        </w:rPr>
        <w:t>”</w:t>
      </w:r>
      <w:r>
        <w:t>,</w:t>
      </w:r>
      <w:r w:rsidRPr="00F2589E">
        <w:t xml:space="preserve"> </w:t>
      </w:r>
      <w:r w:rsidRPr="009D3604">
        <w:rPr>
          <w:i/>
        </w:rPr>
        <w:t xml:space="preserve">supra </w:t>
      </w:r>
      <w:r>
        <w:t xml:space="preserve">note 1 at </w:t>
      </w:r>
      <w:r w:rsidRPr="00F2589E">
        <w:t>p</w:t>
      </w:r>
      <w:r>
        <w:t xml:space="preserve">. </w:t>
      </w:r>
      <w:r w:rsidRPr="00F2589E">
        <w:t>114</w:t>
      </w:r>
      <w:r>
        <w:t>3</w:t>
      </w:r>
      <w:r w:rsidRPr="00F2589E">
        <w:t>.</w:t>
      </w:r>
    </w:p>
  </w:footnote>
  <w:footnote w:id="48">
    <w:p w14:paraId="0615BAE2" w14:textId="559B8878" w:rsidR="00207BD6" w:rsidRDefault="00207BD6" w:rsidP="00547EA0">
      <w:pPr>
        <w:pStyle w:val="FootnoteText"/>
        <w:jc w:val="both"/>
      </w:pPr>
      <w:r>
        <w:rPr>
          <w:rStyle w:val="FootnoteReference"/>
        </w:rPr>
        <w:footnoteRef/>
      </w:r>
      <w:r>
        <w:t xml:space="preserve"> </w:t>
      </w:r>
      <w:r w:rsidRPr="00FA1B9D">
        <w:t>Robertson.S. 1988. Debenture holders and the indenture trustee: controlling managerial discretion in the solvent enterprise. Harvard Journal of Law and Public Policy 11.461</w:t>
      </w:r>
      <w:r w:rsidRPr="00CF4DD7">
        <w:t>. Epling R</w:t>
      </w:r>
      <w:r w:rsidRPr="00F2589E">
        <w:t xml:space="preserve">. 1989. </w:t>
      </w:r>
      <w:r>
        <w:t>“</w:t>
      </w:r>
      <w:r w:rsidRPr="00F2589E">
        <w:t>Trustee Standing to Sue In Alter Ego Or Other Damage Remedy Actions</w:t>
      </w:r>
      <w:r>
        <w:t xml:space="preserve">”, </w:t>
      </w:r>
      <w:r w:rsidRPr="00F2589E">
        <w:rPr>
          <w:i/>
        </w:rPr>
        <w:t>Banker Development Journal</w:t>
      </w:r>
      <w:r w:rsidRPr="00F2589E">
        <w:t xml:space="preserve"> 6.1.</w:t>
      </w:r>
    </w:p>
  </w:footnote>
  <w:footnote w:id="49">
    <w:p w14:paraId="7DB8B1B7" w14:textId="519FF9F2" w:rsidR="00207BD6" w:rsidRDefault="00207BD6" w:rsidP="00547EA0">
      <w:pPr>
        <w:pStyle w:val="FootnoteText"/>
        <w:jc w:val="both"/>
      </w:pPr>
      <w:r>
        <w:rPr>
          <w:rStyle w:val="FootnoteReference"/>
        </w:rPr>
        <w:footnoteRef/>
      </w:r>
      <w:r>
        <w:t xml:space="preserve"> [1927] A.C. 369, PC.</w:t>
      </w:r>
    </w:p>
  </w:footnote>
  <w:footnote w:id="50">
    <w:p w14:paraId="673631CA" w14:textId="229EDBA3" w:rsidR="00207BD6" w:rsidRDefault="00207BD6" w:rsidP="00547EA0">
      <w:pPr>
        <w:pStyle w:val="FootnoteText"/>
        <w:jc w:val="both"/>
      </w:pPr>
      <w:r>
        <w:rPr>
          <w:rStyle w:val="FootnoteReference"/>
        </w:rPr>
        <w:footnoteRef/>
      </w:r>
      <w:r>
        <w:t xml:space="preserve"> “</w:t>
      </w:r>
      <w:r w:rsidRPr="00D25737">
        <w:rPr>
          <w:i/>
        </w:rPr>
        <w:t>Principles of Modern Company Law</w:t>
      </w:r>
      <w:r>
        <w:rPr>
          <w:i/>
        </w:rPr>
        <w:t>”</w:t>
      </w:r>
      <w:r>
        <w:t xml:space="preserve">, </w:t>
      </w:r>
      <w:r w:rsidRPr="009D3604">
        <w:rPr>
          <w:i/>
        </w:rPr>
        <w:t xml:space="preserve">supra </w:t>
      </w:r>
      <w:r>
        <w:t>note 1 at</w:t>
      </w:r>
      <w:r w:rsidRPr="00F2589E">
        <w:t xml:space="preserve"> p</w:t>
      </w:r>
      <w:r>
        <w:t xml:space="preserve">. </w:t>
      </w:r>
      <w:r w:rsidRPr="00F2589E">
        <w:t>114</w:t>
      </w:r>
      <w:r>
        <w:t>9</w:t>
      </w:r>
      <w:r w:rsidRPr="00F2589E">
        <w:t>.</w:t>
      </w:r>
    </w:p>
  </w:footnote>
  <w:footnote w:id="51">
    <w:p w14:paraId="45E3AA9A" w14:textId="1EFF0779" w:rsidR="00207BD6" w:rsidRDefault="00207BD6" w:rsidP="00547EA0">
      <w:pPr>
        <w:pStyle w:val="FootnoteText"/>
        <w:jc w:val="both"/>
      </w:pPr>
      <w:r>
        <w:rPr>
          <w:rStyle w:val="FootnoteReference"/>
        </w:rPr>
        <w:footnoteRef/>
      </w:r>
      <w:r>
        <w:t xml:space="preserve"> </w:t>
      </w:r>
      <w:r w:rsidRPr="00454696">
        <w:t>Section 211(6) CAMA 2020</w:t>
      </w:r>
      <w:r>
        <w:t xml:space="preserve">., </w:t>
      </w:r>
      <w:r w:rsidRPr="00917DCE">
        <w:rPr>
          <w:rFonts w:ascii="Calibri" w:hAnsi="Calibri" w:cs="Calibri"/>
        </w:rPr>
        <w:t>﻿</w:t>
      </w:r>
      <w:r>
        <w:t>S</w:t>
      </w:r>
      <w:r w:rsidRPr="00917DCE">
        <w:t xml:space="preserve">ee also </w:t>
      </w:r>
      <w:r w:rsidRPr="0066024E">
        <w:rPr>
          <w:i/>
        </w:rPr>
        <w:t xml:space="preserve">Redwood Master </w:t>
      </w:r>
      <w:r w:rsidRPr="00917DCE">
        <w:rPr>
          <w:i/>
        </w:rPr>
        <w:t>Fund Ltd v TD Bank Europe</w:t>
      </w:r>
      <w:r w:rsidRPr="00917DCE">
        <w:t xml:space="preserve"> (2006) l.B.C.L.C. 149 a decision relating to a decision by </w:t>
      </w:r>
      <w:r>
        <w:t>bondholders</w:t>
      </w:r>
      <w:r w:rsidRPr="00917DCE">
        <w:t xml:space="preserve"> </w:t>
      </w:r>
      <w:r>
        <w:t>to sue a trustee for negligence to discharge his fiduciary duties under the trust deed</w:t>
      </w:r>
      <w:r w:rsidRPr="00917DCE">
        <w:t>.</w:t>
      </w:r>
    </w:p>
  </w:footnote>
  <w:footnote w:id="52">
    <w:p w14:paraId="14F57691" w14:textId="23F46D05" w:rsidR="00207BD6" w:rsidRDefault="00207BD6" w:rsidP="00547EA0">
      <w:pPr>
        <w:pStyle w:val="FootnoteText"/>
        <w:jc w:val="both"/>
      </w:pPr>
      <w:r>
        <w:rPr>
          <w:rStyle w:val="FootnoteReference"/>
        </w:rPr>
        <w:footnoteRef/>
      </w:r>
      <w:r>
        <w:t xml:space="preserve"> </w:t>
      </w:r>
      <w:r w:rsidRPr="00634273">
        <w:t xml:space="preserve">Proviso to section </w:t>
      </w:r>
      <w:r>
        <w:t>21</w:t>
      </w:r>
      <w:r w:rsidRPr="00634273">
        <w:t>1(</w:t>
      </w:r>
      <w:r>
        <w:t>6</w:t>
      </w:r>
      <w:r w:rsidRPr="00634273">
        <w:t>) CAMA</w:t>
      </w:r>
      <w:r>
        <w:t>, 2020.</w:t>
      </w:r>
    </w:p>
  </w:footnote>
  <w:footnote w:id="53">
    <w:p w14:paraId="19F0DC04" w14:textId="67B5256D" w:rsidR="00207BD6" w:rsidRDefault="00207BD6" w:rsidP="00547EA0">
      <w:pPr>
        <w:pStyle w:val="FootnoteText"/>
        <w:jc w:val="both"/>
      </w:pPr>
      <w:r>
        <w:rPr>
          <w:rStyle w:val="FootnoteReference"/>
        </w:rPr>
        <w:footnoteRef/>
      </w:r>
      <w:r w:rsidRPr="00634273">
        <w:rPr>
          <w:rFonts w:ascii="Calibri" w:hAnsi="Calibri" w:cs="Calibri"/>
        </w:rPr>
        <w:t>﻿</w:t>
      </w:r>
      <w:r>
        <w:t>S</w:t>
      </w:r>
      <w:r w:rsidRPr="00634273">
        <w:t xml:space="preserve">ection </w:t>
      </w:r>
      <w:r>
        <w:t>21</w:t>
      </w:r>
      <w:r w:rsidRPr="00634273">
        <w:t>1(</w:t>
      </w:r>
      <w:r>
        <w:t>5</w:t>
      </w:r>
      <w:r w:rsidRPr="00634273">
        <w:t>)</w:t>
      </w:r>
      <w:r>
        <w:t xml:space="preserve"> </w:t>
      </w:r>
      <w:r w:rsidRPr="00634273">
        <w:t>CAMA</w:t>
      </w:r>
      <w:r>
        <w:t>, 2020.</w:t>
      </w:r>
    </w:p>
  </w:footnote>
  <w:footnote w:id="54">
    <w:p w14:paraId="3EF9D6E0" w14:textId="6D1073A6" w:rsidR="00207BD6" w:rsidRDefault="00207BD6" w:rsidP="00547EA0">
      <w:pPr>
        <w:pStyle w:val="FootnoteText"/>
        <w:jc w:val="both"/>
      </w:pPr>
      <w:r>
        <w:rPr>
          <w:rStyle w:val="FootnoteReference"/>
        </w:rPr>
        <w:footnoteRef/>
      </w:r>
      <w:r>
        <w:t xml:space="preserve"> Harvey, </w:t>
      </w:r>
      <w:r w:rsidRPr="00F04FAE">
        <w:rPr>
          <w:i/>
        </w:rPr>
        <w:t xml:space="preserve">supra </w:t>
      </w:r>
      <w:r>
        <w:t>note 43.</w:t>
      </w:r>
    </w:p>
  </w:footnote>
  <w:footnote w:id="55">
    <w:p w14:paraId="6C6BC2B0" w14:textId="3CA0475C" w:rsidR="00207BD6" w:rsidRDefault="00207BD6" w:rsidP="00547EA0">
      <w:pPr>
        <w:pStyle w:val="FootnoteText"/>
        <w:jc w:val="both"/>
      </w:pPr>
      <w:r>
        <w:rPr>
          <w:rStyle w:val="FootnoteReference"/>
        </w:rPr>
        <w:footnoteRef/>
      </w:r>
      <w:r>
        <w:t xml:space="preserve"> 642 F.2d 929 (5</w:t>
      </w:r>
      <w:r w:rsidRPr="00457162">
        <w:rPr>
          <w:vertAlign w:val="superscript"/>
        </w:rPr>
        <w:t>th</w:t>
      </w:r>
      <w:r>
        <w:t xml:space="preserve"> Cir.1981) (</w:t>
      </w:r>
      <w:r w:rsidRPr="00457162">
        <w:rPr>
          <w:i/>
        </w:rPr>
        <w:t>en banc</w:t>
      </w:r>
      <w:r>
        <w:t>).</w:t>
      </w:r>
    </w:p>
  </w:footnote>
  <w:footnote w:id="56">
    <w:p w14:paraId="2DA5420C" w14:textId="5D582D65" w:rsidR="00207BD6" w:rsidRDefault="00207BD6" w:rsidP="00547EA0">
      <w:pPr>
        <w:pStyle w:val="FootnoteText"/>
        <w:jc w:val="both"/>
      </w:pPr>
      <w:r>
        <w:rPr>
          <w:rStyle w:val="FootnoteReference"/>
        </w:rPr>
        <w:footnoteRef/>
      </w:r>
      <w:r>
        <w:t xml:space="preserve"> 324 N.W.2d 862 (Neb. 1982).</w:t>
      </w:r>
    </w:p>
  </w:footnote>
  <w:footnote w:id="57">
    <w:p w14:paraId="3359DEBE" w14:textId="54738873" w:rsidR="00207BD6" w:rsidRDefault="00207BD6" w:rsidP="00547EA0">
      <w:pPr>
        <w:pStyle w:val="FootnoteText"/>
        <w:jc w:val="both"/>
      </w:pPr>
      <w:r>
        <w:rPr>
          <w:rStyle w:val="FootnoteReference"/>
        </w:rPr>
        <w:footnoteRef/>
      </w:r>
      <w:r>
        <w:t xml:space="preserve"> </w:t>
      </w:r>
      <w:r w:rsidRPr="00BC04B1">
        <w:rPr>
          <w:rFonts w:ascii="Calibri" w:hAnsi="Calibri" w:cs="Calibri"/>
        </w:rPr>
        <w:t>﻿</w:t>
      </w:r>
      <w:r w:rsidRPr="00BC04B1">
        <w:t>723 F. Supp. 976, 994 (S.D.N.Y. 1989)</w:t>
      </w:r>
      <w:r>
        <w:t>, where</w:t>
      </w:r>
      <w:r w:rsidRPr="00BC04B1">
        <w:t xml:space="preserve"> </w:t>
      </w:r>
      <w:r>
        <w:rPr>
          <w:rFonts w:ascii="Calibri" w:hAnsi="Calibri" w:cs="Calibri"/>
        </w:rPr>
        <w:t>﻿</w:t>
      </w:r>
      <w:r>
        <w:t xml:space="preserve">the proposition that fiduciary duty was no longer a viable theory after </w:t>
      </w:r>
      <w:r w:rsidRPr="00E0589A">
        <w:rPr>
          <w:i/>
        </w:rPr>
        <w:t>Met-Life</w:t>
      </w:r>
      <w:r>
        <w:t xml:space="preserve"> because, in this case occurring six months later before the same court, involving similar facts, bondholders elected not even to plead the theory</w:t>
      </w:r>
      <w:r w:rsidRPr="00BC04B1">
        <w:t>.</w:t>
      </w:r>
    </w:p>
  </w:footnote>
  <w:footnote w:id="58">
    <w:p w14:paraId="50FBFAF4" w14:textId="08DCB2B4" w:rsidR="00207BD6" w:rsidRDefault="00207BD6" w:rsidP="00547EA0">
      <w:pPr>
        <w:pStyle w:val="FootnoteText"/>
        <w:jc w:val="both"/>
      </w:pPr>
      <w:r>
        <w:rPr>
          <w:rStyle w:val="FootnoteReference"/>
        </w:rPr>
        <w:footnoteRef/>
      </w:r>
      <w:r>
        <w:t xml:space="preserve"> </w:t>
      </w:r>
      <w:r w:rsidRPr="005C52CC">
        <w:rPr>
          <w:rFonts w:ascii="Calibri" w:hAnsi="Calibri" w:cs="Calibri"/>
        </w:rPr>
        <w:t>﻿</w:t>
      </w:r>
      <w:r w:rsidRPr="005C52CC">
        <w:rPr>
          <w:i/>
        </w:rPr>
        <w:t>Meinhard v. Salmon</w:t>
      </w:r>
      <w:r w:rsidRPr="005C52CC">
        <w:t>, 249 N.Y. 458, 464, 164 N.E. 545, 546 (1928)</w:t>
      </w:r>
      <w:r>
        <w:t>.</w:t>
      </w:r>
    </w:p>
  </w:footnote>
  <w:footnote w:id="59">
    <w:p w14:paraId="1B92A700" w14:textId="70883ED3" w:rsidR="00207BD6" w:rsidRDefault="00207BD6" w:rsidP="00547EA0">
      <w:pPr>
        <w:pStyle w:val="FootnoteText"/>
        <w:jc w:val="both"/>
      </w:pPr>
      <w:r>
        <w:rPr>
          <w:rStyle w:val="FootnoteReference"/>
        </w:rPr>
        <w:footnoteRef/>
      </w:r>
      <w:r>
        <w:t xml:space="preserve"> </w:t>
      </w:r>
      <w:r w:rsidRPr="00F04FAE">
        <w:rPr>
          <w:rFonts w:ascii="Calibri" w:hAnsi="Calibri" w:cs="Calibri"/>
        </w:rPr>
        <w:t>﻿</w:t>
      </w:r>
      <w:r w:rsidRPr="00F04FAE">
        <w:t>(1989) 716 F. Spp. 1504 (S.D.N.Y. 1989)</w:t>
      </w:r>
      <w:r>
        <w:t>.</w:t>
      </w:r>
    </w:p>
  </w:footnote>
  <w:footnote w:id="60">
    <w:p w14:paraId="45BF5BBB" w14:textId="7098C014" w:rsidR="00207BD6" w:rsidRDefault="00207BD6" w:rsidP="00547EA0">
      <w:pPr>
        <w:pStyle w:val="FootnoteText"/>
        <w:jc w:val="both"/>
      </w:pPr>
      <w:r>
        <w:rPr>
          <w:rStyle w:val="FootnoteReference"/>
        </w:rPr>
        <w:footnoteRef/>
      </w:r>
      <w:r>
        <w:t xml:space="preserve"> </w:t>
      </w:r>
      <w:r w:rsidRPr="007E6FAA">
        <w:rPr>
          <w:i/>
        </w:rPr>
        <w:t>ibid</w:t>
      </w:r>
      <w:r>
        <w:t xml:space="preserve"> at 1525.</w:t>
      </w:r>
    </w:p>
  </w:footnote>
  <w:footnote w:id="61">
    <w:p w14:paraId="745A663B" w14:textId="2F7F85C4" w:rsidR="00207BD6" w:rsidRDefault="00207BD6" w:rsidP="00547EA0">
      <w:pPr>
        <w:pStyle w:val="FootnoteText"/>
        <w:jc w:val="both"/>
      </w:pPr>
      <w:r>
        <w:rPr>
          <w:rStyle w:val="FootnoteReference"/>
        </w:rPr>
        <w:footnoteRef/>
      </w:r>
      <w:r>
        <w:t xml:space="preserve"> Smith, </w:t>
      </w:r>
      <w:r w:rsidRPr="00950439">
        <w:rPr>
          <w:i/>
        </w:rPr>
        <w:t>supra</w:t>
      </w:r>
      <w:r>
        <w:t>, note 40 at p.127</w:t>
      </w:r>
    </w:p>
  </w:footnote>
  <w:footnote w:id="62">
    <w:p w14:paraId="6EE4F54A" w14:textId="55CAB759" w:rsidR="00207BD6" w:rsidRDefault="00207BD6" w:rsidP="00547EA0">
      <w:pPr>
        <w:pStyle w:val="FootnoteText"/>
        <w:jc w:val="both"/>
      </w:pPr>
      <w:r>
        <w:rPr>
          <w:rStyle w:val="FootnoteReference"/>
        </w:rPr>
        <w:footnoteRef/>
      </w:r>
      <w:r>
        <w:t xml:space="preserve"> </w:t>
      </w:r>
      <w:r>
        <w:rPr>
          <w:rFonts w:ascii="Calibri" w:hAnsi="Calibri" w:cs="Calibri"/>
        </w:rPr>
        <w:t>﻿</w:t>
      </w:r>
      <w:r>
        <w:t xml:space="preserve">Section 203 CAMA; The definition of what constitute floating and fixed charges is fraught with difficulties and has been subject matter of judicial and academic debates; See also, </w:t>
      </w:r>
      <w:r w:rsidRPr="000D1CD8">
        <w:rPr>
          <w:i/>
        </w:rPr>
        <w:t>National Westminster Bank Plc v. Spectrum Plus Limited</w:t>
      </w:r>
      <w:r>
        <w:t xml:space="preserve"> [2005] UKHL 41, [2005] 2 AC 680. </w:t>
      </w:r>
    </w:p>
  </w:footnote>
  <w:footnote w:id="63">
    <w:p w14:paraId="7E624E71" w14:textId="29F83291" w:rsidR="00207BD6" w:rsidRDefault="00207BD6" w:rsidP="00547EA0">
      <w:pPr>
        <w:pStyle w:val="FootnoteText"/>
        <w:jc w:val="both"/>
      </w:pPr>
      <w:r>
        <w:rPr>
          <w:rStyle w:val="FootnoteReference"/>
        </w:rPr>
        <w:footnoteRef/>
      </w:r>
      <w:r>
        <w:t xml:space="preserve"> </w:t>
      </w:r>
      <w:r w:rsidRPr="00553C88">
        <w:rPr>
          <w:rFonts w:ascii="Calibri" w:hAnsi="Calibri" w:cs="Calibri"/>
        </w:rPr>
        <w:t>﻿</w:t>
      </w:r>
      <w:r w:rsidRPr="00553C88">
        <w:t>R M Goode Commercial Law (3rd edn. LexisNexis UK and Penguin Books, London 2004) 583</w:t>
      </w:r>
      <w:r>
        <w:t xml:space="preserve"> at pp. </w:t>
      </w:r>
      <w:r w:rsidRPr="00553C88">
        <w:rPr>
          <w:rFonts w:ascii="Calibri" w:hAnsi="Calibri" w:cs="Calibri"/>
        </w:rPr>
        <w:t>﻿</w:t>
      </w:r>
      <w:r w:rsidRPr="00553C88">
        <w:t>649-650</w:t>
      </w:r>
      <w:r>
        <w:t>.</w:t>
      </w:r>
    </w:p>
  </w:footnote>
  <w:footnote w:id="64">
    <w:p w14:paraId="42D5657B" w14:textId="5E4380A1" w:rsidR="00207BD6" w:rsidRDefault="00207BD6" w:rsidP="00547EA0">
      <w:pPr>
        <w:pStyle w:val="FootnoteText"/>
        <w:jc w:val="both"/>
      </w:pPr>
      <w:r>
        <w:rPr>
          <w:rStyle w:val="FootnoteReference"/>
        </w:rPr>
        <w:footnoteRef/>
      </w:r>
      <w:r>
        <w:t xml:space="preserve"> LFN 2004 (As amended by the Finance Act, 2020). </w:t>
      </w:r>
    </w:p>
  </w:footnote>
  <w:footnote w:id="65">
    <w:p w14:paraId="547FEAE8" w14:textId="7AA8E0AA" w:rsidR="00207BD6" w:rsidRDefault="00207BD6" w:rsidP="00547EA0">
      <w:pPr>
        <w:pStyle w:val="FootnoteText"/>
        <w:jc w:val="both"/>
      </w:pPr>
      <w:r>
        <w:rPr>
          <w:rStyle w:val="FootnoteReference"/>
        </w:rPr>
        <w:footnoteRef/>
      </w:r>
      <w:r>
        <w:t xml:space="preserve"> LFN 2004.</w:t>
      </w:r>
    </w:p>
  </w:footnote>
  <w:footnote w:id="66">
    <w:p w14:paraId="7EE13B0A" w14:textId="0FB41E9B" w:rsidR="00207BD6" w:rsidRDefault="00207BD6" w:rsidP="00547EA0">
      <w:pPr>
        <w:pStyle w:val="FootnoteText"/>
        <w:jc w:val="both"/>
      </w:pPr>
      <w:r>
        <w:rPr>
          <w:rStyle w:val="FootnoteReference"/>
        </w:rPr>
        <w:footnoteRef/>
      </w:r>
      <w:r>
        <w:t xml:space="preserve"> </w:t>
      </w:r>
      <w:r w:rsidRPr="00C6220B">
        <w:rPr>
          <w:rFonts w:ascii="Calibri" w:hAnsi="Calibri" w:cs="Calibri"/>
        </w:rPr>
        <w:t>﻿</w:t>
      </w:r>
      <w:r w:rsidRPr="00C6220B">
        <w:t>Section71(2) of the ISA</w:t>
      </w:r>
      <w:r>
        <w:t>.</w:t>
      </w:r>
    </w:p>
  </w:footnote>
  <w:footnote w:id="67">
    <w:p w14:paraId="2439623E" w14:textId="785091A1" w:rsidR="00207BD6" w:rsidRDefault="00207BD6" w:rsidP="00547EA0">
      <w:pPr>
        <w:pStyle w:val="FootnoteText"/>
        <w:jc w:val="both"/>
      </w:pPr>
      <w:r>
        <w:rPr>
          <w:rStyle w:val="FootnoteReference"/>
        </w:rPr>
        <w:footnoteRef/>
      </w:r>
      <w:r>
        <w:t xml:space="preserve"> See s. 211(2) CAMA</w:t>
      </w:r>
    </w:p>
  </w:footnote>
  <w:footnote w:id="68">
    <w:p w14:paraId="36CCCB54" w14:textId="0BE0583A" w:rsidR="00207BD6" w:rsidRDefault="00207BD6" w:rsidP="00547EA0">
      <w:pPr>
        <w:pStyle w:val="FootnoteText"/>
        <w:jc w:val="both"/>
      </w:pPr>
      <w:r>
        <w:rPr>
          <w:rStyle w:val="FootnoteReference"/>
        </w:rPr>
        <w:footnoteRef/>
      </w:r>
      <w:r>
        <w:t xml:space="preserve"> </w:t>
      </w:r>
      <w:r w:rsidRPr="00520355">
        <w:rPr>
          <w:rFonts w:ascii="Calibri" w:hAnsi="Calibri" w:cs="Calibri"/>
        </w:rPr>
        <w:t>﻿</w:t>
      </w:r>
      <w:r w:rsidRPr="00520355">
        <w:t xml:space="preserve">Section </w:t>
      </w:r>
      <w:r>
        <w:t>218</w:t>
      </w:r>
      <w:r w:rsidRPr="00520355">
        <w:t>(1) CAMA</w:t>
      </w:r>
      <w:r>
        <w:t>, 2020</w:t>
      </w:r>
    </w:p>
  </w:footnote>
  <w:footnote w:id="69">
    <w:p w14:paraId="0716D269" w14:textId="481F7359" w:rsidR="00207BD6" w:rsidRDefault="00207BD6" w:rsidP="00547EA0">
      <w:pPr>
        <w:pStyle w:val="FootnoteText"/>
        <w:jc w:val="both"/>
      </w:pPr>
      <w:r>
        <w:rPr>
          <w:rStyle w:val="FootnoteReference"/>
        </w:rPr>
        <w:footnoteRef/>
      </w:r>
      <w:r>
        <w:t xml:space="preserve"> </w:t>
      </w:r>
      <w:r>
        <w:rPr>
          <w:rFonts w:ascii="Calibri" w:hAnsi="Calibri" w:cs="Calibri"/>
        </w:rPr>
        <w:t>﻿</w:t>
      </w:r>
      <w:r>
        <w:t>Section 218 (2) CAMA, 2020, that is, - (a) the names and addresses of the debenture holders; (b) the principal of the debentures held each of them; (c) the amount or the highest amount of any premium payable on redemption of the debentures; (d) the issue price of the debenture and the amount paid up on the issue price; (e) the date on which the name of each person was entered on the register as a debenture holder; and (f) the date on which each person ceased to be a debenture holder.</w:t>
      </w:r>
    </w:p>
  </w:footnote>
  <w:footnote w:id="70">
    <w:p w14:paraId="1AAB354E" w14:textId="3AF09768" w:rsidR="00207BD6" w:rsidRDefault="00207BD6" w:rsidP="00547EA0">
      <w:pPr>
        <w:pStyle w:val="FootnoteText"/>
        <w:jc w:val="both"/>
      </w:pPr>
      <w:r>
        <w:rPr>
          <w:rStyle w:val="FootnoteReference"/>
        </w:rPr>
        <w:footnoteRef/>
      </w:r>
      <w:r>
        <w:t xml:space="preserve"> Section 222(2) CAMA, 2020.</w:t>
      </w:r>
    </w:p>
  </w:footnote>
  <w:footnote w:id="71">
    <w:p w14:paraId="37B5D4A7" w14:textId="0F9D17A3" w:rsidR="00207BD6" w:rsidRPr="00E60F91" w:rsidRDefault="00207BD6" w:rsidP="00547EA0">
      <w:pPr>
        <w:pStyle w:val="FootnoteText"/>
        <w:jc w:val="both"/>
      </w:pPr>
      <w:r w:rsidRPr="00E60F91">
        <w:rPr>
          <w:rStyle w:val="FootnoteReference"/>
        </w:rPr>
        <w:footnoteRef/>
      </w:r>
      <w:r w:rsidRPr="00E60F91">
        <w:t xml:space="preserve"> Trust Indenture Act of 1939, Ch.411, 53 Stat. 1149 (19390 (Codified as amended at 15 U.S.C §77aaa-77bbb (2000)).</w:t>
      </w:r>
    </w:p>
  </w:footnote>
  <w:footnote w:id="72">
    <w:p w14:paraId="6B8A5D89" w14:textId="6C952306" w:rsidR="00207BD6" w:rsidRPr="00E60F91" w:rsidRDefault="00207BD6" w:rsidP="00547EA0">
      <w:pPr>
        <w:pStyle w:val="FootnoteText"/>
        <w:jc w:val="both"/>
      </w:pPr>
      <w:r w:rsidRPr="00E60F91">
        <w:rPr>
          <w:rStyle w:val="FootnoteReference"/>
        </w:rPr>
        <w:footnoteRef/>
      </w:r>
      <w:r w:rsidRPr="00E60F91">
        <w:t xml:space="preserve">Smith, </w:t>
      </w:r>
      <w:r w:rsidRPr="00E60F91">
        <w:rPr>
          <w:i/>
        </w:rPr>
        <w:t>supra</w:t>
      </w:r>
      <w:r w:rsidRPr="00E60F91">
        <w:t xml:space="preserve">, note 40. </w:t>
      </w:r>
    </w:p>
  </w:footnote>
  <w:footnote w:id="73">
    <w:p w14:paraId="7B9F254D" w14:textId="64ADECCE" w:rsidR="00207BD6" w:rsidRPr="005E66C8" w:rsidRDefault="00207BD6" w:rsidP="00547EA0">
      <w:pPr>
        <w:pStyle w:val="FootnoteText"/>
        <w:jc w:val="both"/>
      </w:pPr>
      <w:r w:rsidRPr="00E60F91">
        <w:rPr>
          <w:rStyle w:val="FootnoteReference"/>
        </w:rPr>
        <w:footnoteRef/>
      </w:r>
      <w:r w:rsidRPr="00E60F91">
        <w:t xml:space="preserve"> </w:t>
      </w:r>
      <w:r w:rsidRPr="00E60F91">
        <w:rPr>
          <w:i/>
        </w:rPr>
        <w:t xml:space="preserve">See </w:t>
      </w:r>
      <w:r w:rsidRPr="00E60F91">
        <w:t xml:space="preserve">15 U.S.C §77bbb(a)(1) (2000). (Individual action by </w:t>
      </w:r>
      <w:r w:rsidR="003E3811">
        <w:t>dispersed</w:t>
      </w:r>
      <w:r w:rsidRPr="00E60F91">
        <w:t xml:space="preserve"> investors by reason of the disproportionate expense of taking such action</w:t>
      </w:r>
      <w:r w:rsidR="00036D1B">
        <w:t>)</w:t>
      </w:r>
      <w:r w:rsidRPr="00E60F91">
        <w:t>.</w:t>
      </w:r>
    </w:p>
  </w:footnote>
  <w:footnote w:id="74">
    <w:p w14:paraId="5057AA57" w14:textId="268D64B1" w:rsidR="00207BD6" w:rsidRPr="00D472C5" w:rsidRDefault="00207BD6" w:rsidP="00547EA0">
      <w:pPr>
        <w:pStyle w:val="FootnoteText"/>
        <w:jc w:val="both"/>
      </w:pPr>
      <w:r>
        <w:rPr>
          <w:rStyle w:val="FootnoteReference"/>
        </w:rPr>
        <w:footnoteRef/>
      </w:r>
      <w:r>
        <w:t xml:space="preserve"> Steven L. Schwarcz and Gregory M. Sergi, </w:t>
      </w:r>
      <w:r>
        <w:fldChar w:fldCharType="begin" w:fldLock="1"/>
      </w:r>
      <w:r>
        <w:instrText>ADDIN CSL_CITATION {"citationItems":[{"id":"ITEM-1","itemData":{"id":"ITEM-1","issued":{"date-parts":[["0"]]},"title":"Bond Defaults.pdf","type":"article"},"uris":["http://www.mendeley.com/documents/?uuid=89a29d4a-eb84-4b2f-a41e-5e6ce2852c92"]}],"mendeley":{"formattedCitation":"‘Bond Defaults.Pdf’.","plainTextFormattedCitation":"‘Bond Defaults.Pdf’."},"properties":{"noteIndex":74},"schema":"https://github.com/citation-style-language/schema/raw/master/csl-citation.json"}</w:instrText>
      </w:r>
      <w:r>
        <w:fldChar w:fldCharType="separate"/>
      </w:r>
      <w:r>
        <w:rPr>
          <w:noProof/>
        </w:rPr>
        <w:t>"Bond Defaults and the Dilemma of the Indenture Trustee"</w:t>
      </w:r>
      <w:r w:rsidRPr="00D472C5">
        <w:rPr>
          <w:noProof/>
        </w:rPr>
        <w:t>.</w:t>
      </w:r>
      <w:r>
        <w:fldChar w:fldCharType="end"/>
      </w:r>
      <w:r>
        <w:t xml:space="preserve">, (2008) </w:t>
      </w:r>
      <w:r w:rsidRPr="00D472C5">
        <w:rPr>
          <w:i/>
        </w:rPr>
        <w:t>Alabama Law Review</w:t>
      </w:r>
      <w:r>
        <w:rPr>
          <w:i/>
        </w:rPr>
        <w:t xml:space="preserve"> </w:t>
      </w:r>
      <w:r>
        <w:t>Volume 59:4, 1034.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83B0B"/>
    <w:multiLevelType w:val="multilevel"/>
    <w:tmpl w:val="31EEFF0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34A02A98"/>
    <w:multiLevelType w:val="hybridMultilevel"/>
    <w:tmpl w:val="5A5E49FC"/>
    <w:lvl w:ilvl="0" w:tplc="DF5C59E0">
      <w:start w:val="1"/>
      <w:numFmt w:val="lowerRoman"/>
      <w:lvlText w:val="%1."/>
      <w:lvlJc w:val="left"/>
      <w:pPr>
        <w:ind w:left="1080" w:hanging="720"/>
      </w:pPr>
      <w:rPr>
        <w:rFonts w:ascii="Helvetica Neue" w:eastAsia="Times New Roman" w:hAnsi="Helvetica Neu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C4B07"/>
    <w:multiLevelType w:val="hybridMultilevel"/>
    <w:tmpl w:val="2C0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44F64"/>
    <w:multiLevelType w:val="hybridMultilevel"/>
    <w:tmpl w:val="3710D17C"/>
    <w:lvl w:ilvl="0" w:tplc="0CCAF86E">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09"/>
    <w:rsid w:val="00012F64"/>
    <w:rsid w:val="00016977"/>
    <w:rsid w:val="000229AA"/>
    <w:rsid w:val="00024CF9"/>
    <w:rsid w:val="00025691"/>
    <w:rsid w:val="00026E98"/>
    <w:rsid w:val="00036D1B"/>
    <w:rsid w:val="00037EEF"/>
    <w:rsid w:val="00052F5C"/>
    <w:rsid w:val="00055DAC"/>
    <w:rsid w:val="000577DE"/>
    <w:rsid w:val="00071EE9"/>
    <w:rsid w:val="0007316E"/>
    <w:rsid w:val="0007411B"/>
    <w:rsid w:val="00083905"/>
    <w:rsid w:val="0008784B"/>
    <w:rsid w:val="000C414B"/>
    <w:rsid w:val="000D1CD8"/>
    <w:rsid w:val="000D70E7"/>
    <w:rsid w:val="000E5BFE"/>
    <w:rsid w:val="000F3A6C"/>
    <w:rsid w:val="00101FD3"/>
    <w:rsid w:val="00123046"/>
    <w:rsid w:val="00124A96"/>
    <w:rsid w:val="00132AF3"/>
    <w:rsid w:val="00135968"/>
    <w:rsid w:val="001406C7"/>
    <w:rsid w:val="0014213B"/>
    <w:rsid w:val="00143469"/>
    <w:rsid w:val="001462D3"/>
    <w:rsid w:val="00146999"/>
    <w:rsid w:val="00154335"/>
    <w:rsid w:val="00175D02"/>
    <w:rsid w:val="00186E15"/>
    <w:rsid w:val="001979D9"/>
    <w:rsid w:val="001A383D"/>
    <w:rsid w:val="001A4056"/>
    <w:rsid w:val="001B2FB4"/>
    <w:rsid w:val="001C4570"/>
    <w:rsid w:val="001D1CA8"/>
    <w:rsid w:val="001D31BB"/>
    <w:rsid w:val="001E1A59"/>
    <w:rsid w:val="001F2BE7"/>
    <w:rsid w:val="001F2D46"/>
    <w:rsid w:val="002051E9"/>
    <w:rsid w:val="0020689C"/>
    <w:rsid w:val="00207417"/>
    <w:rsid w:val="00207BD6"/>
    <w:rsid w:val="0021318F"/>
    <w:rsid w:val="0021333B"/>
    <w:rsid w:val="00224371"/>
    <w:rsid w:val="002248DD"/>
    <w:rsid w:val="00224E0C"/>
    <w:rsid w:val="002260D9"/>
    <w:rsid w:val="00231ECA"/>
    <w:rsid w:val="0023592D"/>
    <w:rsid w:val="002432E5"/>
    <w:rsid w:val="00247933"/>
    <w:rsid w:val="00262BE6"/>
    <w:rsid w:val="00271DDD"/>
    <w:rsid w:val="002720CF"/>
    <w:rsid w:val="00272318"/>
    <w:rsid w:val="00273C11"/>
    <w:rsid w:val="0028520A"/>
    <w:rsid w:val="0029245E"/>
    <w:rsid w:val="00293E73"/>
    <w:rsid w:val="00294484"/>
    <w:rsid w:val="002A0BE9"/>
    <w:rsid w:val="002A37A2"/>
    <w:rsid w:val="002B1C5E"/>
    <w:rsid w:val="002B4F21"/>
    <w:rsid w:val="002C3BCA"/>
    <w:rsid w:val="002E49FF"/>
    <w:rsid w:val="003007BB"/>
    <w:rsid w:val="003021FD"/>
    <w:rsid w:val="003036D3"/>
    <w:rsid w:val="003139CF"/>
    <w:rsid w:val="003258F4"/>
    <w:rsid w:val="00326CD2"/>
    <w:rsid w:val="0032755E"/>
    <w:rsid w:val="003305A0"/>
    <w:rsid w:val="00333D20"/>
    <w:rsid w:val="00334D6C"/>
    <w:rsid w:val="00335A6C"/>
    <w:rsid w:val="00341B4D"/>
    <w:rsid w:val="00346472"/>
    <w:rsid w:val="00351B6D"/>
    <w:rsid w:val="00364515"/>
    <w:rsid w:val="00366CDB"/>
    <w:rsid w:val="003833DE"/>
    <w:rsid w:val="0039148F"/>
    <w:rsid w:val="00395CFA"/>
    <w:rsid w:val="003A23C8"/>
    <w:rsid w:val="003D24B6"/>
    <w:rsid w:val="003E1D3E"/>
    <w:rsid w:val="003E20CA"/>
    <w:rsid w:val="003E3811"/>
    <w:rsid w:val="00400571"/>
    <w:rsid w:val="00406F87"/>
    <w:rsid w:val="00413A15"/>
    <w:rsid w:val="004146FB"/>
    <w:rsid w:val="00415EE3"/>
    <w:rsid w:val="004254DF"/>
    <w:rsid w:val="0043262A"/>
    <w:rsid w:val="0044304F"/>
    <w:rsid w:val="0044694F"/>
    <w:rsid w:val="00454696"/>
    <w:rsid w:val="00454D88"/>
    <w:rsid w:val="0045512A"/>
    <w:rsid w:val="00457162"/>
    <w:rsid w:val="0046567F"/>
    <w:rsid w:val="0047157C"/>
    <w:rsid w:val="0047601F"/>
    <w:rsid w:val="00485EA7"/>
    <w:rsid w:val="004863DD"/>
    <w:rsid w:val="004918AB"/>
    <w:rsid w:val="004A1882"/>
    <w:rsid w:val="004B0249"/>
    <w:rsid w:val="004B19B7"/>
    <w:rsid w:val="004B1A3D"/>
    <w:rsid w:val="004B1BE9"/>
    <w:rsid w:val="004B4E3C"/>
    <w:rsid w:val="004C0D46"/>
    <w:rsid w:val="004C3808"/>
    <w:rsid w:val="004D530D"/>
    <w:rsid w:val="004D6779"/>
    <w:rsid w:val="004F7EFF"/>
    <w:rsid w:val="005071F2"/>
    <w:rsid w:val="00514017"/>
    <w:rsid w:val="00514D73"/>
    <w:rsid w:val="00520355"/>
    <w:rsid w:val="00521D36"/>
    <w:rsid w:val="00531E11"/>
    <w:rsid w:val="005457FC"/>
    <w:rsid w:val="00547EA0"/>
    <w:rsid w:val="00553C88"/>
    <w:rsid w:val="005576DC"/>
    <w:rsid w:val="00557A40"/>
    <w:rsid w:val="00575989"/>
    <w:rsid w:val="00575A6B"/>
    <w:rsid w:val="00583B53"/>
    <w:rsid w:val="00592CFE"/>
    <w:rsid w:val="005A7DDC"/>
    <w:rsid w:val="005B22DE"/>
    <w:rsid w:val="005C224D"/>
    <w:rsid w:val="005C52CC"/>
    <w:rsid w:val="005C5FE7"/>
    <w:rsid w:val="005D1B09"/>
    <w:rsid w:val="005D4D1C"/>
    <w:rsid w:val="005E171A"/>
    <w:rsid w:val="005E66C8"/>
    <w:rsid w:val="005F44A6"/>
    <w:rsid w:val="005F456D"/>
    <w:rsid w:val="0061749B"/>
    <w:rsid w:val="00617D59"/>
    <w:rsid w:val="006220F3"/>
    <w:rsid w:val="00625101"/>
    <w:rsid w:val="0063169D"/>
    <w:rsid w:val="006327AB"/>
    <w:rsid w:val="00634273"/>
    <w:rsid w:val="00641E4B"/>
    <w:rsid w:val="00644BF4"/>
    <w:rsid w:val="0066024E"/>
    <w:rsid w:val="00663380"/>
    <w:rsid w:val="00666E2F"/>
    <w:rsid w:val="00673408"/>
    <w:rsid w:val="00674967"/>
    <w:rsid w:val="00695069"/>
    <w:rsid w:val="006C1FC2"/>
    <w:rsid w:val="006C4F2A"/>
    <w:rsid w:val="006E5D6C"/>
    <w:rsid w:val="006F053C"/>
    <w:rsid w:val="006F7369"/>
    <w:rsid w:val="006F7548"/>
    <w:rsid w:val="00720520"/>
    <w:rsid w:val="007319A5"/>
    <w:rsid w:val="00743042"/>
    <w:rsid w:val="00747DB2"/>
    <w:rsid w:val="007649B1"/>
    <w:rsid w:val="00764F35"/>
    <w:rsid w:val="00774CFE"/>
    <w:rsid w:val="0079139D"/>
    <w:rsid w:val="00793B5D"/>
    <w:rsid w:val="007B7155"/>
    <w:rsid w:val="007D3AD7"/>
    <w:rsid w:val="007D67A3"/>
    <w:rsid w:val="007E5D35"/>
    <w:rsid w:val="007E62D2"/>
    <w:rsid w:val="007E6FAA"/>
    <w:rsid w:val="007F356D"/>
    <w:rsid w:val="007F5343"/>
    <w:rsid w:val="007F782C"/>
    <w:rsid w:val="0080496F"/>
    <w:rsid w:val="008051DB"/>
    <w:rsid w:val="00822C1A"/>
    <w:rsid w:val="008241CB"/>
    <w:rsid w:val="00841560"/>
    <w:rsid w:val="00846823"/>
    <w:rsid w:val="00850B1E"/>
    <w:rsid w:val="00852BE9"/>
    <w:rsid w:val="0085597F"/>
    <w:rsid w:val="00860631"/>
    <w:rsid w:val="00863464"/>
    <w:rsid w:val="00872943"/>
    <w:rsid w:val="00887E79"/>
    <w:rsid w:val="00894830"/>
    <w:rsid w:val="00896A70"/>
    <w:rsid w:val="00897C67"/>
    <w:rsid w:val="008A4F6D"/>
    <w:rsid w:val="008B3C0D"/>
    <w:rsid w:val="008C1BFD"/>
    <w:rsid w:val="008C5FA8"/>
    <w:rsid w:val="008E074E"/>
    <w:rsid w:val="008F586F"/>
    <w:rsid w:val="00913A41"/>
    <w:rsid w:val="00917DCE"/>
    <w:rsid w:val="0092469A"/>
    <w:rsid w:val="00943073"/>
    <w:rsid w:val="0094340E"/>
    <w:rsid w:val="00950439"/>
    <w:rsid w:val="00960806"/>
    <w:rsid w:val="00973165"/>
    <w:rsid w:val="00975888"/>
    <w:rsid w:val="009A6924"/>
    <w:rsid w:val="009B075F"/>
    <w:rsid w:val="009B3320"/>
    <w:rsid w:val="009C44DC"/>
    <w:rsid w:val="009D3134"/>
    <w:rsid w:val="009D32E8"/>
    <w:rsid w:val="009D3604"/>
    <w:rsid w:val="009D5F83"/>
    <w:rsid w:val="009E04E8"/>
    <w:rsid w:val="009E3A5F"/>
    <w:rsid w:val="009E6625"/>
    <w:rsid w:val="009F1A43"/>
    <w:rsid w:val="009F1E18"/>
    <w:rsid w:val="009F4FF1"/>
    <w:rsid w:val="00A10A12"/>
    <w:rsid w:val="00A11DE8"/>
    <w:rsid w:val="00A37DA0"/>
    <w:rsid w:val="00A44874"/>
    <w:rsid w:val="00A512AB"/>
    <w:rsid w:val="00A6281E"/>
    <w:rsid w:val="00A673D5"/>
    <w:rsid w:val="00A7078C"/>
    <w:rsid w:val="00A76D89"/>
    <w:rsid w:val="00A820F6"/>
    <w:rsid w:val="00A82553"/>
    <w:rsid w:val="00A8545A"/>
    <w:rsid w:val="00A86B35"/>
    <w:rsid w:val="00A87273"/>
    <w:rsid w:val="00A879B1"/>
    <w:rsid w:val="00A96E92"/>
    <w:rsid w:val="00AB5A13"/>
    <w:rsid w:val="00AB5BCB"/>
    <w:rsid w:val="00AC6406"/>
    <w:rsid w:val="00AD1F73"/>
    <w:rsid w:val="00AD2527"/>
    <w:rsid w:val="00AE3B88"/>
    <w:rsid w:val="00AF087C"/>
    <w:rsid w:val="00AF7D25"/>
    <w:rsid w:val="00B0336B"/>
    <w:rsid w:val="00B14E8D"/>
    <w:rsid w:val="00B31C61"/>
    <w:rsid w:val="00B40ABF"/>
    <w:rsid w:val="00B4426D"/>
    <w:rsid w:val="00B551D2"/>
    <w:rsid w:val="00B631DA"/>
    <w:rsid w:val="00B679AD"/>
    <w:rsid w:val="00B67F27"/>
    <w:rsid w:val="00B72999"/>
    <w:rsid w:val="00B8570B"/>
    <w:rsid w:val="00B85FEB"/>
    <w:rsid w:val="00B869DD"/>
    <w:rsid w:val="00B8786B"/>
    <w:rsid w:val="00BC04B1"/>
    <w:rsid w:val="00BC6063"/>
    <w:rsid w:val="00BE17C8"/>
    <w:rsid w:val="00BE7B99"/>
    <w:rsid w:val="00BF76CB"/>
    <w:rsid w:val="00C03537"/>
    <w:rsid w:val="00C10EA6"/>
    <w:rsid w:val="00C122DD"/>
    <w:rsid w:val="00C138C3"/>
    <w:rsid w:val="00C17010"/>
    <w:rsid w:val="00C17E56"/>
    <w:rsid w:val="00C22E5C"/>
    <w:rsid w:val="00C30175"/>
    <w:rsid w:val="00C32FA3"/>
    <w:rsid w:val="00C34E67"/>
    <w:rsid w:val="00C40A8A"/>
    <w:rsid w:val="00C44482"/>
    <w:rsid w:val="00C4780F"/>
    <w:rsid w:val="00C4781F"/>
    <w:rsid w:val="00C47BE7"/>
    <w:rsid w:val="00C51067"/>
    <w:rsid w:val="00C5508B"/>
    <w:rsid w:val="00C5522D"/>
    <w:rsid w:val="00C600D4"/>
    <w:rsid w:val="00C60BE1"/>
    <w:rsid w:val="00C60E80"/>
    <w:rsid w:val="00C615A1"/>
    <w:rsid w:val="00C6220B"/>
    <w:rsid w:val="00C77625"/>
    <w:rsid w:val="00C801C2"/>
    <w:rsid w:val="00C82121"/>
    <w:rsid w:val="00C82904"/>
    <w:rsid w:val="00C94081"/>
    <w:rsid w:val="00C97E3E"/>
    <w:rsid w:val="00CA1243"/>
    <w:rsid w:val="00CA3872"/>
    <w:rsid w:val="00CA788B"/>
    <w:rsid w:val="00CC665E"/>
    <w:rsid w:val="00CD6E64"/>
    <w:rsid w:val="00CF1A24"/>
    <w:rsid w:val="00CF27E4"/>
    <w:rsid w:val="00CF4DD7"/>
    <w:rsid w:val="00CF7EA5"/>
    <w:rsid w:val="00D032D7"/>
    <w:rsid w:val="00D03447"/>
    <w:rsid w:val="00D04406"/>
    <w:rsid w:val="00D06852"/>
    <w:rsid w:val="00D219BF"/>
    <w:rsid w:val="00D254F1"/>
    <w:rsid w:val="00D25737"/>
    <w:rsid w:val="00D32EB9"/>
    <w:rsid w:val="00D36BB1"/>
    <w:rsid w:val="00D40459"/>
    <w:rsid w:val="00D4074F"/>
    <w:rsid w:val="00D4091E"/>
    <w:rsid w:val="00D458A3"/>
    <w:rsid w:val="00D472C5"/>
    <w:rsid w:val="00D47E68"/>
    <w:rsid w:val="00D51C5E"/>
    <w:rsid w:val="00D52AE0"/>
    <w:rsid w:val="00D62F02"/>
    <w:rsid w:val="00D703D9"/>
    <w:rsid w:val="00D7204B"/>
    <w:rsid w:val="00D8427A"/>
    <w:rsid w:val="00D85705"/>
    <w:rsid w:val="00D86C25"/>
    <w:rsid w:val="00D962E3"/>
    <w:rsid w:val="00DA7A32"/>
    <w:rsid w:val="00DB2546"/>
    <w:rsid w:val="00DB3754"/>
    <w:rsid w:val="00DC3E5A"/>
    <w:rsid w:val="00DE282E"/>
    <w:rsid w:val="00DE38BF"/>
    <w:rsid w:val="00DF4678"/>
    <w:rsid w:val="00DF53FC"/>
    <w:rsid w:val="00E03664"/>
    <w:rsid w:val="00E0589A"/>
    <w:rsid w:val="00E11C90"/>
    <w:rsid w:val="00E14AC3"/>
    <w:rsid w:val="00E16A50"/>
    <w:rsid w:val="00E16F08"/>
    <w:rsid w:val="00E203BE"/>
    <w:rsid w:val="00E21101"/>
    <w:rsid w:val="00E2201E"/>
    <w:rsid w:val="00E25F6E"/>
    <w:rsid w:val="00E27D10"/>
    <w:rsid w:val="00E33C8C"/>
    <w:rsid w:val="00E346E9"/>
    <w:rsid w:val="00E36602"/>
    <w:rsid w:val="00E3744C"/>
    <w:rsid w:val="00E528D4"/>
    <w:rsid w:val="00E57BE3"/>
    <w:rsid w:val="00E60F91"/>
    <w:rsid w:val="00E64BA0"/>
    <w:rsid w:val="00E64FE2"/>
    <w:rsid w:val="00E67484"/>
    <w:rsid w:val="00E70139"/>
    <w:rsid w:val="00E71B98"/>
    <w:rsid w:val="00E77490"/>
    <w:rsid w:val="00E81F05"/>
    <w:rsid w:val="00E81FFE"/>
    <w:rsid w:val="00E82C16"/>
    <w:rsid w:val="00E837DA"/>
    <w:rsid w:val="00E971FD"/>
    <w:rsid w:val="00EA02D8"/>
    <w:rsid w:val="00EB0503"/>
    <w:rsid w:val="00EB13EE"/>
    <w:rsid w:val="00EB3C2A"/>
    <w:rsid w:val="00EB5849"/>
    <w:rsid w:val="00EC3930"/>
    <w:rsid w:val="00EE3639"/>
    <w:rsid w:val="00EF0E1F"/>
    <w:rsid w:val="00EF1DA6"/>
    <w:rsid w:val="00F04FAE"/>
    <w:rsid w:val="00F05AF7"/>
    <w:rsid w:val="00F07317"/>
    <w:rsid w:val="00F105E3"/>
    <w:rsid w:val="00F1353C"/>
    <w:rsid w:val="00F150D8"/>
    <w:rsid w:val="00F154A8"/>
    <w:rsid w:val="00F15DE9"/>
    <w:rsid w:val="00F1686F"/>
    <w:rsid w:val="00F20C09"/>
    <w:rsid w:val="00F24795"/>
    <w:rsid w:val="00F2589E"/>
    <w:rsid w:val="00F42FA9"/>
    <w:rsid w:val="00F43FA4"/>
    <w:rsid w:val="00F53A19"/>
    <w:rsid w:val="00F67385"/>
    <w:rsid w:val="00F70881"/>
    <w:rsid w:val="00F746B3"/>
    <w:rsid w:val="00F7629A"/>
    <w:rsid w:val="00F810A3"/>
    <w:rsid w:val="00F83485"/>
    <w:rsid w:val="00F92241"/>
    <w:rsid w:val="00F974A9"/>
    <w:rsid w:val="00FA17D4"/>
    <w:rsid w:val="00FA1B9D"/>
    <w:rsid w:val="00FC1CE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A1E2"/>
  <w15:chartTrackingRefBased/>
  <w15:docId w15:val="{D232BDF9-188E-454B-8849-DBB6B7AE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74"/>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036D3"/>
    <w:rPr>
      <w:sz w:val="20"/>
      <w:szCs w:val="20"/>
    </w:rPr>
  </w:style>
  <w:style w:type="character" w:customStyle="1" w:styleId="FootnoteTextChar">
    <w:name w:val="Footnote Text Char"/>
    <w:basedOn w:val="DefaultParagraphFont"/>
    <w:link w:val="FootnoteText"/>
    <w:uiPriority w:val="99"/>
    <w:semiHidden/>
    <w:rsid w:val="003036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36D3"/>
    <w:rPr>
      <w:vertAlign w:val="superscript"/>
    </w:rPr>
  </w:style>
  <w:style w:type="character" w:styleId="Hyperlink">
    <w:name w:val="Hyperlink"/>
    <w:basedOn w:val="DefaultParagraphFont"/>
    <w:uiPriority w:val="99"/>
    <w:unhideWhenUsed/>
    <w:rsid w:val="006220F3"/>
    <w:rPr>
      <w:color w:val="0563C1" w:themeColor="hyperlink"/>
      <w:u w:val="single"/>
    </w:rPr>
  </w:style>
  <w:style w:type="character" w:customStyle="1" w:styleId="UnresolvedMention1">
    <w:name w:val="Unresolved Mention1"/>
    <w:basedOn w:val="DefaultParagraphFont"/>
    <w:uiPriority w:val="99"/>
    <w:semiHidden/>
    <w:unhideWhenUsed/>
    <w:rsid w:val="006220F3"/>
    <w:rPr>
      <w:color w:val="605E5C"/>
      <w:shd w:val="clear" w:color="auto" w:fill="E1DFDD"/>
    </w:rPr>
  </w:style>
  <w:style w:type="paragraph" w:styleId="Header">
    <w:name w:val="header"/>
    <w:basedOn w:val="Normal"/>
    <w:link w:val="HeaderChar"/>
    <w:uiPriority w:val="99"/>
    <w:unhideWhenUsed/>
    <w:rsid w:val="00A879B1"/>
    <w:pPr>
      <w:tabs>
        <w:tab w:val="center" w:pos="4680"/>
        <w:tab w:val="right" w:pos="9360"/>
      </w:tabs>
    </w:pPr>
  </w:style>
  <w:style w:type="character" w:customStyle="1" w:styleId="HeaderChar">
    <w:name w:val="Header Char"/>
    <w:basedOn w:val="DefaultParagraphFont"/>
    <w:link w:val="Header"/>
    <w:uiPriority w:val="99"/>
    <w:rsid w:val="00A879B1"/>
    <w:rPr>
      <w:rFonts w:ascii="Times New Roman" w:eastAsia="Times New Roman" w:hAnsi="Times New Roman" w:cs="Times New Roman"/>
    </w:rPr>
  </w:style>
  <w:style w:type="paragraph" w:styleId="Footer">
    <w:name w:val="footer"/>
    <w:basedOn w:val="Normal"/>
    <w:link w:val="FooterChar"/>
    <w:uiPriority w:val="99"/>
    <w:unhideWhenUsed/>
    <w:rsid w:val="00A879B1"/>
    <w:pPr>
      <w:tabs>
        <w:tab w:val="center" w:pos="4680"/>
        <w:tab w:val="right" w:pos="9360"/>
      </w:tabs>
    </w:pPr>
  </w:style>
  <w:style w:type="character" w:customStyle="1" w:styleId="FooterChar">
    <w:name w:val="Footer Char"/>
    <w:basedOn w:val="DefaultParagraphFont"/>
    <w:link w:val="Footer"/>
    <w:uiPriority w:val="99"/>
    <w:rsid w:val="00A879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241CB"/>
    <w:rPr>
      <w:color w:val="954F72" w:themeColor="followedHyperlink"/>
      <w:u w:val="single"/>
    </w:rPr>
  </w:style>
  <w:style w:type="table" w:styleId="TableGrid">
    <w:name w:val="Table Grid"/>
    <w:basedOn w:val="TableNormal"/>
    <w:uiPriority w:val="59"/>
    <w:rsid w:val="004A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4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1824">
      <w:bodyDiv w:val="1"/>
      <w:marLeft w:val="0"/>
      <w:marRight w:val="0"/>
      <w:marTop w:val="0"/>
      <w:marBottom w:val="0"/>
      <w:divBdr>
        <w:top w:val="none" w:sz="0" w:space="0" w:color="auto"/>
        <w:left w:val="none" w:sz="0" w:space="0" w:color="auto"/>
        <w:bottom w:val="none" w:sz="0" w:space="0" w:color="auto"/>
        <w:right w:val="none" w:sz="0" w:space="0" w:color="auto"/>
      </w:divBdr>
    </w:div>
    <w:div w:id="298725639">
      <w:bodyDiv w:val="1"/>
      <w:marLeft w:val="0"/>
      <w:marRight w:val="0"/>
      <w:marTop w:val="0"/>
      <w:marBottom w:val="0"/>
      <w:divBdr>
        <w:top w:val="none" w:sz="0" w:space="0" w:color="auto"/>
        <w:left w:val="none" w:sz="0" w:space="0" w:color="auto"/>
        <w:bottom w:val="none" w:sz="0" w:space="0" w:color="auto"/>
        <w:right w:val="none" w:sz="0" w:space="0" w:color="auto"/>
      </w:divBdr>
    </w:div>
    <w:div w:id="360472233">
      <w:bodyDiv w:val="1"/>
      <w:marLeft w:val="0"/>
      <w:marRight w:val="0"/>
      <w:marTop w:val="0"/>
      <w:marBottom w:val="0"/>
      <w:divBdr>
        <w:top w:val="none" w:sz="0" w:space="0" w:color="auto"/>
        <w:left w:val="none" w:sz="0" w:space="0" w:color="auto"/>
        <w:bottom w:val="none" w:sz="0" w:space="0" w:color="auto"/>
        <w:right w:val="none" w:sz="0" w:space="0" w:color="auto"/>
      </w:divBdr>
    </w:div>
    <w:div w:id="585965303">
      <w:bodyDiv w:val="1"/>
      <w:marLeft w:val="0"/>
      <w:marRight w:val="0"/>
      <w:marTop w:val="0"/>
      <w:marBottom w:val="0"/>
      <w:divBdr>
        <w:top w:val="none" w:sz="0" w:space="0" w:color="auto"/>
        <w:left w:val="none" w:sz="0" w:space="0" w:color="auto"/>
        <w:bottom w:val="none" w:sz="0" w:space="0" w:color="auto"/>
        <w:right w:val="none" w:sz="0" w:space="0" w:color="auto"/>
      </w:divBdr>
    </w:div>
    <w:div w:id="757023304">
      <w:bodyDiv w:val="1"/>
      <w:marLeft w:val="0"/>
      <w:marRight w:val="0"/>
      <w:marTop w:val="0"/>
      <w:marBottom w:val="0"/>
      <w:divBdr>
        <w:top w:val="none" w:sz="0" w:space="0" w:color="auto"/>
        <w:left w:val="none" w:sz="0" w:space="0" w:color="auto"/>
        <w:bottom w:val="none" w:sz="0" w:space="0" w:color="auto"/>
        <w:right w:val="none" w:sz="0" w:space="0" w:color="auto"/>
      </w:divBdr>
    </w:div>
    <w:div w:id="985741551">
      <w:bodyDiv w:val="1"/>
      <w:marLeft w:val="0"/>
      <w:marRight w:val="0"/>
      <w:marTop w:val="0"/>
      <w:marBottom w:val="0"/>
      <w:divBdr>
        <w:top w:val="none" w:sz="0" w:space="0" w:color="auto"/>
        <w:left w:val="none" w:sz="0" w:space="0" w:color="auto"/>
        <w:bottom w:val="none" w:sz="0" w:space="0" w:color="auto"/>
        <w:right w:val="none" w:sz="0" w:space="0" w:color="auto"/>
      </w:divBdr>
    </w:div>
    <w:div w:id="1144733971">
      <w:bodyDiv w:val="1"/>
      <w:marLeft w:val="0"/>
      <w:marRight w:val="0"/>
      <w:marTop w:val="0"/>
      <w:marBottom w:val="0"/>
      <w:divBdr>
        <w:top w:val="none" w:sz="0" w:space="0" w:color="auto"/>
        <w:left w:val="none" w:sz="0" w:space="0" w:color="auto"/>
        <w:bottom w:val="none" w:sz="0" w:space="0" w:color="auto"/>
        <w:right w:val="none" w:sz="0" w:space="0" w:color="auto"/>
      </w:divBdr>
    </w:div>
    <w:div w:id="1182891267">
      <w:bodyDiv w:val="1"/>
      <w:marLeft w:val="0"/>
      <w:marRight w:val="0"/>
      <w:marTop w:val="0"/>
      <w:marBottom w:val="0"/>
      <w:divBdr>
        <w:top w:val="none" w:sz="0" w:space="0" w:color="auto"/>
        <w:left w:val="none" w:sz="0" w:space="0" w:color="auto"/>
        <w:bottom w:val="none" w:sz="0" w:space="0" w:color="auto"/>
        <w:right w:val="none" w:sz="0" w:space="0" w:color="auto"/>
      </w:divBdr>
    </w:div>
    <w:div w:id="1263609453">
      <w:bodyDiv w:val="1"/>
      <w:marLeft w:val="0"/>
      <w:marRight w:val="0"/>
      <w:marTop w:val="0"/>
      <w:marBottom w:val="0"/>
      <w:divBdr>
        <w:top w:val="none" w:sz="0" w:space="0" w:color="auto"/>
        <w:left w:val="none" w:sz="0" w:space="0" w:color="auto"/>
        <w:bottom w:val="none" w:sz="0" w:space="0" w:color="auto"/>
        <w:right w:val="none" w:sz="0" w:space="0" w:color="auto"/>
      </w:divBdr>
    </w:div>
    <w:div w:id="1860006699">
      <w:bodyDiv w:val="1"/>
      <w:marLeft w:val="0"/>
      <w:marRight w:val="0"/>
      <w:marTop w:val="0"/>
      <w:marBottom w:val="0"/>
      <w:divBdr>
        <w:top w:val="none" w:sz="0" w:space="0" w:color="auto"/>
        <w:left w:val="none" w:sz="0" w:space="0" w:color="auto"/>
        <w:bottom w:val="none" w:sz="0" w:space="0" w:color="auto"/>
        <w:right w:val="none" w:sz="0" w:space="0" w:color="auto"/>
      </w:divBdr>
    </w:div>
    <w:div w:id="18745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oomberg.com/news/articles/2024-02-20/junk-bond-market-is-getting-junkier-that-makes-it-riskier-too" TargetMode="External"/><Relationship Id="rId2" Type="http://schemas.openxmlformats.org/officeDocument/2006/relationships/hyperlink" Target="http://www.moodys.com/cust/content/Content.ashx?source=Static" TargetMode="External"/><Relationship Id="rId1" Type="http://schemas.openxmlformats.org/officeDocument/2006/relationships/hyperlink" Target="http://www.thomson.com/financial/league_table/de/1Q2007/1Q07_DE_US_Trus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7137B-46F5-0645-AE68-16365B75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7164</Words>
  <Characters>40837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Olumide Phillips</cp:lastModifiedBy>
  <cp:revision>9</cp:revision>
  <dcterms:created xsi:type="dcterms:W3CDTF">2025-12-18T14:31:00Z</dcterms:created>
  <dcterms:modified xsi:type="dcterms:W3CDTF">2025-12-18T14:56:00Z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df8949ae-0f89-3a33-a26d-0da84de82d5d</vt:lpwstr>
  </property>
  <property fmtid="{D5CDD505-2E9C-101B-9397-08002B2CF9AE}" pid="24" name="Mendeley Citation Style_1">
    <vt:lpwstr>http://www.zotero.org/styles/modern-humanities-research-association</vt:lpwstr>
  </property>
</Properties>
</file>